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1A008" w14:textId="77777777" w:rsidR="003775F4" w:rsidRDefault="00602015" w:rsidP="00702BAC">
      <w:pPr>
        <w:spacing w:after="180" w:line="240" w:lineRule="auto"/>
        <w:jc w:val="center"/>
        <w:rPr>
          <w:b/>
          <w:bCs/>
          <w:color w:val="121212"/>
        </w:rPr>
      </w:pPr>
      <w:r>
        <w:rPr>
          <w:b/>
          <w:bCs/>
          <w:color w:val="121212"/>
        </w:rPr>
        <w:t>COMPARATIVE REGULATORY APPROACHES OF PLATFORM ACCOUNTABILITY</w:t>
      </w:r>
      <w:r>
        <w:rPr>
          <w:b/>
          <w:bCs/>
          <w:color w:val="121212"/>
        </w:rPr>
        <w:t xml:space="preserve"> </w:t>
      </w:r>
      <w:r>
        <w:rPr>
          <w:b/>
          <w:bCs/>
          <w:color w:val="121212"/>
        </w:rPr>
        <w:t>AND CONTENT MODERATION IN KENYA, NIGERIA, AND INDONESIA</w:t>
      </w:r>
    </w:p>
    <w:p w14:paraId="43BB6932" w14:textId="3642772D" w:rsidR="003775F4" w:rsidRDefault="00602015" w:rsidP="00702BAC">
      <w:pPr>
        <w:spacing w:after="0" w:line="240" w:lineRule="auto"/>
        <w:jc w:val="center"/>
        <w:rPr>
          <w:b/>
          <w:bCs/>
        </w:rPr>
      </w:pPr>
      <w:r>
        <w:rPr>
          <w:rFonts w:hint="eastAsia"/>
          <w:b/>
          <w:bCs/>
        </w:rPr>
        <w:t xml:space="preserve">Yewande </w:t>
      </w:r>
      <w:proofErr w:type="spellStart"/>
      <w:r>
        <w:rPr>
          <w:rFonts w:hint="eastAsia"/>
          <w:b/>
          <w:bCs/>
        </w:rPr>
        <w:t>Fatoki</w:t>
      </w:r>
      <w:proofErr w:type="spellEnd"/>
      <w:r w:rsidR="00702BAC">
        <w:rPr>
          <w:b/>
          <w:bCs/>
        </w:rPr>
        <w:t xml:space="preserve"> </w:t>
      </w:r>
      <w:proofErr w:type="spellStart"/>
      <w:proofErr w:type="gramStart"/>
      <w:r w:rsidR="00702BAC">
        <w:rPr>
          <w:b/>
          <w:bCs/>
        </w:rPr>
        <w:t>Ph.D</w:t>
      </w:r>
      <w:proofErr w:type="spellEnd"/>
      <w:proofErr w:type="gramEnd"/>
      <w:r w:rsidR="00702BAC">
        <w:rPr>
          <w:b/>
          <w:bCs/>
        </w:rPr>
        <w:t>*</w:t>
      </w:r>
    </w:p>
    <w:p w14:paraId="2A73ACF6" w14:textId="32BF2DD0" w:rsidR="00702BAC" w:rsidRDefault="00702BAC" w:rsidP="00702BAC">
      <w:pPr>
        <w:spacing w:after="0" w:line="240" w:lineRule="auto"/>
        <w:jc w:val="center"/>
        <w:rPr>
          <w:b/>
          <w:bCs/>
        </w:rPr>
      </w:pPr>
      <w:r>
        <w:rPr>
          <w:b/>
          <w:bCs/>
        </w:rPr>
        <w:t>&amp;</w:t>
      </w:r>
    </w:p>
    <w:p w14:paraId="63DAD4E1" w14:textId="14E7093C" w:rsidR="003775F4" w:rsidRDefault="00602015" w:rsidP="00702BAC">
      <w:pPr>
        <w:spacing w:after="0" w:line="240" w:lineRule="auto"/>
        <w:jc w:val="center"/>
        <w:rPr>
          <w:b/>
          <w:bCs/>
        </w:rPr>
      </w:pPr>
      <w:r>
        <w:rPr>
          <w:b/>
          <w:bCs/>
        </w:rPr>
        <w:t>Usman Sarafadeen</w:t>
      </w:r>
      <w:r w:rsidR="00702BAC">
        <w:rPr>
          <w:b/>
          <w:bCs/>
        </w:rPr>
        <w:t>**</w:t>
      </w:r>
    </w:p>
    <w:p w14:paraId="4BAF81BD" w14:textId="77777777" w:rsidR="003775F4" w:rsidRDefault="00602015" w:rsidP="00702BAC">
      <w:pPr>
        <w:pStyle w:val="Heading1"/>
        <w:spacing w:line="240" w:lineRule="auto"/>
        <w:ind w:left="990" w:right="540"/>
        <w:rPr>
          <w:color w:val="121212"/>
          <w:sz w:val="24"/>
          <w:szCs w:val="24"/>
        </w:rPr>
      </w:pPr>
      <w:r>
        <w:rPr>
          <w:color w:val="121212"/>
          <w:sz w:val="24"/>
          <w:szCs w:val="24"/>
        </w:rPr>
        <w:t>Abstract</w:t>
      </w:r>
    </w:p>
    <w:p w14:paraId="1F2874F6" w14:textId="77777777" w:rsidR="003775F4" w:rsidRDefault="00602015" w:rsidP="00702BAC">
      <w:pPr>
        <w:spacing w:after="240" w:line="240" w:lineRule="auto"/>
        <w:ind w:left="990" w:right="540"/>
        <w:rPr>
          <w:b/>
          <w:bCs/>
          <w:color w:val="121212"/>
        </w:rPr>
      </w:pPr>
      <w:r>
        <w:rPr>
          <w:color w:val="121212"/>
        </w:rPr>
        <w:t>The global expansion of social media platforms and digital intermediaries has intensified regulatory challenges relating to platform accountability and content moderation across developing economies. This paper undertakes a comparative legal and policy analysis of regulatory frameworks in Kenya, Nigeria, and Indonesia</w:t>
      </w:r>
      <w:r>
        <w:rPr>
          <w:color w:val="121212"/>
        </w:rPr>
        <w:t xml:space="preserve"> </w:t>
      </w:r>
      <w:r>
        <w:rPr>
          <w:color w:val="121212"/>
        </w:rPr>
        <w:t>three democracies in the Global South that exhibit comparable digital transformation trajectories but divergent regulatory outcomes. Despite broadly similar exposure to platform-related governance challenges, Kenya and Indonesia have developed relatively functional accountability regimes, while Nigeria has struggled to translate extensive statutory frameworks into effective regulatory practice.</w:t>
      </w:r>
      <w:r>
        <w:rPr>
          <w:color w:val="121212"/>
        </w:rPr>
        <w:t xml:space="preserve"> </w:t>
      </w:r>
      <w:r>
        <w:rPr>
          <w:color w:val="121212"/>
        </w:rPr>
        <w:t>Drawing on primary legislation, policy instruments, secondary scholarship, and documented enforcement outcomes, t</w:t>
      </w:r>
      <w:r>
        <w:rPr>
          <w:color w:val="121212"/>
        </w:rPr>
        <w:t xml:space="preserve">he paper argues that Nigeria’s regulatory deficiencies are not primarily attributable to legislative inadequacy. Instead, they arise from structural weaknesses in institutional coordination, enforcement credibility, political interference, and the absence of effective multi-stakeholder governance mechanisms. The 2021 suspension of Twitter (X) in Nigeria is </w:t>
      </w:r>
      <w:proofErr w:type="spellStart"/>
      <w:r>
        <w:rPr>
          <w:color w:val="121212"/>
        </w:rPr>
        <w:t>analysed</w:t>
      </w:r>
      <w:proofErr w:type="spellEnd"/>
      <w:r>
        <w:rPr>
          <w:color w:val="121212"/>
        </w:rPr>
        <w:t xml:space="preserve"> as a paradigmatic case illustrating the disconnect between formal regulatory authority and effective governance outcomes.</w:t>
      </w:r>
      <w:r>
        <w:rPr>
          <w:color w:val="121212"/>
        </w:rPr>
        <w:t xml:space="preserve"> </w:t>
      </w:r>
      <w:r>
        <w:rPr>
          <w:color w:val="121212"/>
        </w:rPr>
        <w:t>The paper concludes th</w:t>
      </w:r>
      <w:r>
        <w:rPr>
          <w:color w:val="121212"/>
        </w:rPr>
        <w:t>at effective platform accountability is contingent less on regulatory proliferation than on institutional coherence, credible enforcement, and rule-of-law–anchored governance systems, and offers reform-oriented recommendations tailored to the Nigerian context.</w:t>
      </w:r>
    </w:p>
    <w:p w14:paraId="20A7A23A" w14:textId="77777777" w:rsidR="003775F4" w:rsidRPr="00702BAC" w:rsidRDefault="00602015" w:rsidP="00702BAC">
      <w:pPr>
        <w:spacing w:after="240" w:line="240" w:lineRule="auto"/>
        <w:ind w:left="990" w:right="540"/>
        <w:rPr>
          <w:b/>
          <w:bCs/>
          <w:color w:val="121212"/>
        </w:rPr>
      </w:pPr>
      <w:r w:rsidRPr="00702BAC">
        <w:rPr>
          <w:i/>
          <w:iCs/>
          <w:color w:val="121212"/>
        </w:rPr>
        <w:t>Keywords</w:t>
      </w:r>
      <w:r>
        <w:rPr>
          <w:b/>
          <w:bCs/>
          <w:color w:val="121212"/>
        </w:rPr>
        <w:t>:</w:t>
      </w:r>
      <w:r>
        <w:rPr>
          <w:color w:val="121212"/>
        </w:rPr>
        <w:t xml:space="preserve"> </w:t>
      </w:r>
      <w:r w:rsidRPr="00702BAC">
        <w:rPr>
          <w:b/>
          <w:bCs/>
          <w:color w:val="121212"/>
        </w:rPr>
        <w:t>Platform accountability, content moderation, digital governance, Nigeria, Kenya, Indonesia, comparative law, social media regulation, cyberlaw.</w:t>
      </w:r>
    </w:p>
    <w:p w14:paraId="6A143E27" w14:textId="19FA85F4" w:rsidR="003775F4" w:rsidRDefault="00602015" w:rsidP="00702BAC">
      <w:pPr>
        <w:spacing w:after="240" w:line="240" w:lineRule="auto"/>
        <w:rPr>
          <w:color w:val="121212"/>
        </w:rPr>
      </w:pPr>
      <w:r>
        <w:rPr>
          <w:b/>
          <w:bCs/>
          <w:color w:val="121212"/>
        </w:rPr>
        <w:t>1.</w:t>
      </w:r>
      <w:r w:rsidR="00702BAC">
        <w:rPr>
          <w:b/>
          <w:bCs/>
          <w:color w:val="121212"/>
        </w:rPr>
        <w:t>0 INTRODUCTION</w:t>
      </w:r>
    </w:p>
    <w:p w14:paraId="3F77E643" w14:textId="77777777" w:rsidR="003775F4" w:rsidRDefault="00602015" w:rsidP="00702BAC">
      <w:pPr>
        <w:spacing w:after="240" w:line="240" w:lineRule="auto"/>
        <w:rPr>
          <w:color w:val="121212"/>
        </w:rPr>
      </w:pPr>
      <w:r>
        <w:rPr>
          <w:color w:val="121212"/>
        </w:rPr>
        <w:t xml:space="preserve">There has been an exponential rise in the proliferation of social media networks, search engines, and digital intermediaries in the last two decades, which has transformed the infrastructure of human interactions, political engagement, and trade across the world. Social media platforms like Meta, X, Google, TikTok, and YouTube have become vital components of everyday life in contemporary society and act as key gateways to information not only for the users in Western countries but also in many parts of the </w:t>
      </w:r>
      <w:r>
        <w:rPr>
          <w:color w:val="121212"/>
        </w:rPr>
        <w:t xml:space="preserve">world, particularly the growing digital population of </w:t>
      </w:r>
      <w:r>
        <w:rPr>
          <w:color w:val="121212"/>
        </w:rPr>
        <w:lastRenderedPageBreak/>
        <w:t>countries like Kenya, Nigeria, and Indonesia</w:t>
      </w:r>
      <w:r>
        <w:rPr>
          <w:rFonts w:eastAsia="Apple SD Gothic Neo Regular"/>
          <w:color w:val="121212"/>
        </w:rPr>
        <w:t>.</w:t>
      </w:r>
      <w:r>
        <w:rPr>
          <w:rFonts w:eastAsia="Apple SD Gothic Neo Regular"/>
          <w:color w:val="121212"/>
          <w:vertAlign w:val="superscript"/>
        </w:rPr>
        <w:footnoteReference w:id="1"/>
      </w:r>
      <w:r>
        <w:rPr>
          <w:rFonts w:eastAsia="Apple SD Gothic Neo Regular"/>
          <w:color w:val="121212"/>
        </w:rPr>
        <w:t xml:space="preserve"> </w:t>
      </w:r>
      <w:r>
        <w:rPr>
          <w:color w:val="121212"/>
        </w:rPr>
        <w:t>Given the global nature of these platforms, their data-heavy business model, and the governance regime driven by algorithmic processes, there is a need for regulation since sovereign states may find it difficult to regulate such entities operating beyond the jurisdiction of national boundaries.</w:t>
      </w:r>
      <w:r>
        <w:rPr>
          <w:rFonts w:eastAsia="Apple SD Gothic Neo Regular"/>
          <w:color w:val="121212"/>
          <w:vertAlign w:val="superscript"/>
        </w:rPr>
        <w:footnoteReference w:id="2"/>
      </w:r>
      <w:r>
        <w:rPr>
          <w:rFonts w:eastAsia="Apple SD Gothic Neo Regular"/>
          <w:color w:val="121212"/>
        </w:rPr>
        <w:t xml:space="preserve"> </w:t>
      </w:r>
    </w:p>
    <w:p w14:paraId="17A8D3E4" w14:textId="77777777" w:rsidR="003775F4" w:rsidRDefault="00602015" w:rsidP="00702BAC">
      <w:pPr>
        <w:spacing w:after="240" w:line="240" w:lineRule="auto"/>
        <w:rPr>
          <w:color w:val="121212"/>
        </w:rPr>
      </w:pPr>
      <w:r>
        <w:rPr>
          <w:color w:val="121212"/>
        </w:rPr>
        <w:t>It is in this backdrop that platform accountability emerges as one of the most important issues in regulating digital platforms. Platform accountability entails all the legal and institutional arrangements for holding these companies accountable for governing user content, designing and deploying algorithms, managing data, and exercising market power.</w:t>
      </w:r>
      <w:r>
        <w:rPr>
          <w:color w:val="121212"/>
        </w:rPr>
        <w:t xml:space="preserve"> </w:t>
      </w:r>
      <w:r>
        <w:rPr>
          <w:color w:val="121212"/>
        </w:rPr>
        <w:t>Closely linked to this is content moderation, the set of practices through which platforms filter, remove, downrank, or amplify content in accordance with legal requirements, internal policies, and commercial incentives</w:t>
      </w:r>
      <w:r>
        <w:rPr>
          <w:rFonts w:eastAsia="Apple SD Gothic Neo Regular"/>
          <w:color w:val="121212"/>
        </w:rPr>
        <w:t>.</w:t>
      </w:r>
      <w:r>
        <w:rPr>
          <w:rFonts w:eastAsia="Apple SD Gothic Neo Regular"/>
          <w:color w:val="121212"/>
          <w:vertAlign w:val="superscript"/>
        </w:rPr>
        <w:footnoteReference w:id="3"/>
      </w:r>
      <w:r>
        <w:rPr>
          <w:rFonts w:eastAsia="Apple SD Gothic Neo Regular"/>
          <w:color w:val="121212"/>
        </w:rPr>
        <w:t xml:space="preserve"> </w:t>
      </w:r>
      <w:r>
        <w:rPr>
          <w:color w:val="121212"/>
        </w:rPr>
        <w:t>These processes sit at the intersection of constitutional free expression guarantees, state obligations to protect public order, and the private governance power of technology corporations.</w:t>
      </w:r>
    </w:p>
    <w:p w14:paraId="76E7DADF" w14:textId="77777777" w:rsidR="003775F4" w:rsidRDefault="00602015" w:rsidP="00702BAC">
      <w:pPr>
        <w:spacing w:after="240" w:line="240" w:lineRule="auto"/>
        <w:rPr>
          <w:color w:val="121212"/>
        </w:rPr>
      </w:pPr>
      <w:r>
        <w:rPr>
          <w:color w:val="121212"/>
        </w:rPr>
        <w:t>Regulation of these areas raises enduring issues for democratic governments, especially those operating in the Global South where institutional capacity limitations coincide with important considerations of combating misinformation, hate speech, election manipulation, and cyber violence. Consequently, these governments are faced with an ongoing struggle to strike a balance between safeguarding rights and guaranteeing that digital platforms are not being used for nefarious purposes</w:t>
      </w:r>
      <w:r>
        <w:rPr>
          <w:rFonts w:eastAsia="Apple SD Gothic Neo Regular"/>
          <w:color w:val="121212"/>
        </w:rPr>
        <w:t>.</w:t>
      </w:r>
      <w:r>
        <w:rPr>
          <w:rFonts w:eastAsia="Apple SD Gothic Neo Regular"/>
          <w:color w:val="121212"/>
          <w:vertAlign w:val="superscript"/>
        </w:rPr>
        <w:footnoteReference w:id="4"/>
      </w:r>
      <w:r>
        <w:rPr>
          <w:rFonts w:eastAsia="Apple SD Gothic Neo Regular"/>
          <w:color w:val="121212"/>
        </w:rPr>
        <w:t xml:space="preserve"> </w:t>
      </w:r>
      <w:r>
        <w:rPr>
          <w:color w:val="121212"/>
        </w:rPr>
        <w:t>This essay will conduct a comparative evaluation of regulation efforts aimed at addressing platform responsibility and content moderation within three developing democracies; namely, Kenya, Nigeria, and Indonesia. Both Kenya and Indonesia are chosen for their comparatively effective regulation experience with digital platforms, which includes tangible compliance outcomes and the development of institutional mechanisms in charge of digital governance. Nigeria is considered an example of ambitious yet unsucc</w:t>
      </w:r>
      <w:r>
        <w:rPr>
          <w:color w:val="121212"/>
        </w:rPr>
        <w:t>essful regulation initiatives, hampered by structural fragmentation and uneven enforcement efforts, despite having some of the best statutory instruments in digital governance in Africa.</w:t>
      </w:r>
    </w:p>
    <w:p w14:paraId="09211A29" w14:textId="77777777" w:rsidR="003775F4" w:rsidRDefault="00602015" w:rsidP="00702BAC">
      <w:pPr>
        <w:spacing w:after="240" w:line="240" w:lineRule="auto"/>
        <w:rPr>
          <w:color w:val="121212"/>
        </w:rPr>
      </w:pPr>
      <w:r>
        <w:rPr>
          <w:color w:val="121212"/>
        </w:rPr>
        <w:t xml:space="preserve">Nigeria is especially interesting from an analytical point of view due to the following factors: it has a sizable and valuable digital market, a highly fragmented regulatory framework, and a pattern of repeated attempts at regulating platforms without any tangible results. The 2021 suspension of X (Twitter) is especially instructive in this regard, illustrating the gap between formal regulatory </w:t>
      </w:r>
      <w:r>
        <w:rPr>
          <w:color w:val="121212"/>
        </w:rPr>
        <w:lastRenderedPageBreak/>
        <w:t>assertion and effective governance capacity.</w:t>
      </w:r>
      <w:r>
        <w:rPr>
          <w:color w:val="121212"/>
        </w:rPr>
        <w:t xml:space="preserve"> </w:t>
      </w:r>
      <w:r>
        <w:rPr>
          <w:color w:val="121212"/>
        </w:rPr>
        <w:t>Accordingly, the central research question guiding this study is: why has platform accountability regulation produced more effective outcomes in Kenya and Indonesia than in Nigeria, despite Nigeria’s extensive statutory framework and larger digital market size?</w:t>
      </w:r>
    </w:p>
    <w:p w14:paraId="64774A1A" w14:textId="32B3CF91" w:rsidR="003775F4" w:rsidRDefault="00602015" w:rsidP="00702BAC">
      <w:pPr>
        <w:spacing w:after="240" w:line="240" w:lineRule="auto"/>
        <w:rPr>
          <w:b/>
          <w:bCs/>
          <w:color w:val="121212"/>
        </w:rPr>
      </w:pPr>
      <w:r>
        <w:rPr>
          <w:b/>
          <w:bCs/>
          <w:color w:val="121212"/>
        </w:rPr>
        <w:t>2</w:t>
      </w:r>
      <w:r w:rsidR="00702BAC">
        <w:rPr>
          <w:b/>
          <w:bCs/>
          <w:color w:val="121212"/>
        </w:rPr>
        <w:t>.0</w:t>
      </w:r>
      <w:r>
        <w:rPr>
          <w:b/>
          <w:bCs/>
          <w:color w:val="121212"/>
        </w:rPr>
        <w:t xml:space="preserve"> </w:t>
      </w:r>
      <w:r w:rsidR="00702BAC">
        <w:rPr>
          <w:b/>
          <w:bCs/>
          <w:color w:val="121212"/>
        </w:rPr>
        <w:t>THEORETICAL FRAMEWORK</w:t>
      </w:r>
    </w:p>
    <w:p w14:paraId="1CB33DD8" w14:textId="02A65E88" w:rsidR="003775F4" w:rsidRDefault="00602015" w:rsidP="00702BAC">
      <w:pPr>
        <w:spacing w:after="240" w:line="240" w:lineRule="auto"/>
        <w:rPr>
          <w:b/>
          <w:bCs/>
          <w:color w:val="121212"/>
        </w:rPr>
      </w:pPr>
      <w:r>
        <w:rPr>
          <w:b/>
          <w:bCs/>
          <w:color w:val="121212"/>
        </w:rPr>
        <w:t>2.1 Regulatory Capitalism Theory</w:t>
      </w:r>
    </w:p>
    <w:p w14:paraId="5A5836AC" w14:textId="77777777" w:rsidR="003775F4" w:rsidRDefault="00602015" w:rsidP="00702BAC">
      <w:pPr>
        <w:spacing w:after="240" w:line="240" w:lineRule="auto"/>
        <w:rPr>
          <w:color w:val="121212"/>
        </w:rPr>
      </w:pPr>
      <w:r>
        <w:rPr>
          <w:color w:val="121212"/>
        </w:rPr>
        <w:t>Regulatory capitalism theory holds that the contemporary state has shifted from governing through direct ownership and command toward governing through networks of public and private regulators, and that the effectiveness of this mode of governance turns less on how many rules exist than on the credibility and coherence of the institutions enforcing them</w:t>
      </w:r>
      <w:r>
        <w:rPr>
          <w:rFonts w:eastAsia="Apple SD Gothic Neo Regular"/>
          <w:color w:val="121212"/>
        </w:rPr>
        <w:t>.</w:t>
      </w:r>
      <w:r>
        <w:rPr>
          <w:rFonts w:eastAsia="Apple SD Gothic Neo Regular"/>
          <w:color w:val="121212"/>
          <w:vertAlign w:val="superscript"/>
        </w:rPr>
        <w:footnoteReference w:id="5"/>
      </w:r>
      <w:r>
        <w:rPr>
          <w:rFonts w:eastAsia="Apple SD Gothic Neo Regular"/>
          <w:color w:val="121212"/>
        </w:rPr>
        <w:t xml:space="preserve"> </w:t>
      </w:r>
      <w:r>
        <w:rPr>
          <w:color w:val="121212"/>
        </w:rPr>
        <w:t>The theory was propounded by David Levi-Faur, who argued that the welfare state of the mid-twentieth century has been succeeded globally by a new order in which states retreat from direct provision but expand their regulatory reach, creating denser but more indirect forms of control. John Braithwaite subsequently extended the theory, showing how this order produces both opportunities, such as networked and responsive enforcement, and recurring pathologies, including regulatory ritualism, where institutions</w:t>
      </w:r>
      <w:r>
        <w:rPr>
          <w:color w:val="121212"/>
        </w:rPr>
        <w:t xml:space="preserve"> perform the appearance of regulation without substantive enforcement</w:t>
      </w:r>
      <w:r>
        <w:rPr>
          <w:rFonts w:eastAsia="Apple SD Gothic Neo Regular"/>
          <w:color w:val="121212"/>
        </w:rPr>
        <w:t>.</w:t>
      </w:r>
      <w:r>
        <w:rPr>
          <w:rFonts w:eastAsia="Apple SD Gothic Neo Regular"/>
          <w:color w:val="121212"/>
          <w:vertAlign w:val="superscript"/>
        </w:rPr>
        <w:footnoteReference w:id="6"/>
      </w:r>
    </w:p>
    <w:p w14:paraId="56D2279E" w14:textId="77777777" w:rsidR="003775F4" w:rsidRDefault="00602015" w:rsidP="00702BAC">
      <w:pPr>
        <w:spacing w:after="240" w:line="240" w:lineRule="auto"/>
        <w:rPr>
          <w:color w:val="121212"/>
        </w:rPr>
      </w:pPr>
      <w:r>
        <w:rPr>
          <w:color w:val="121212"/>
        </w:rPr>
        <w:t>The theory is directly relevant to this study because it supplies the conceptual basis for treating Nigeria’s regulatory abundance and Kenya and Indonesia’s comparatively leaner but more consistently enforced frameworks as two expressions of the same underlying global shift, rather than treating Nigeria’s outcome as a simple drafting failure. Braithwaite’s concept of regulatory ritualism in particular offers a precise theoretical label for the pattern this paper identifies in Nigeria: an extensive formal ap</w:t>
      </w:r>
      <w:r>
        <w:rPr>
          <w:color w:val="121212"/>
        </w:rPr>
        <w:t>paratus of statutes and agencies that performs the function of regulation without the enforcement credibility needed to produce compliance.</w:t>
      </w:r>
    </w:p>
    <w:p w14:paraId="1C9F78BC" w14:textId="15E5C471" w:rsidR="003775F4" w:rsidRDefault="00602015" w:rsidP="00702BAC">
      <w:pPr>
        <w:spacing w:after="240" w:line="240" w:lineRule="auto"/>
        <w:rPr>
          <w:b/>
          <w:bCs/>
          <w:color w:val="121212"/>
        </w:rPr>
      </w:pPr>
      <w:r>
        <w:rPr>
          <w:b/>
          <w:bCs/>
          <w:color w:val="121212"/>
        </w:rPr>
        <w:t>2.2 New Institutionalism</w:t>
      </w:r>
    </w:p>
    <w:p w14:paraId="1E551B39" w14:textId="77777777" w:rsidR="003775F4" w:rsidRDefault="00602015" w:rsidP="00702BAC">
      <w:pPr>
        <w:spacing w:after="240" w:line="240" w:lineRule="auto"/>
        <w:rPr>
          <w:color w:val="121212"/>
        </w:rPr>
      </w:pPr>
      <w:r>
        <w:rPr>
          <w:color w:val="121212"/>
        </w:rPr>
        <w:t>The theory was propounded by Douglass C. North, an economic historian whose work on institutional economics later earned him the Nobel Memorial Prize in Economic Sciences</w:t>
      </w:r>
      <w:r>
        <w:rPr>
          <w:rFonts w:eastAsia="Apple SD Gothic Neo Regular"/>
          <w:color w:val="121212"/>
        </w:rPr>
        <w:t>.</w:t>
      </w:r>
      <w:r>
        <w:rPr>
          <w:rFonts w:eastAsia="Apple SD Gothic Neo Regular"/>
          <w:color w:val="121212"/>
          <w:vertAlign w:val="superscript"/>
        </w:rPr>
        <w:footnoteReference w:id="7"/>
      </w:r>
      <w:r>
        <w:rPr>
          <w:rFonts w:eastAsia="Apple SD Gothic Neo Regular"/>
          <w:color w:val="121212"/>
        </w:rPr>
        <w:t xml:space="preserve"> </w:t>
      </w:r>
      <w:r>
        <w:rPr>
          <w:color w:val="121212"/>
        </w:rPr>
        <w:t xml:space="preserve"> New institutionalism distinguishes formal rules, such as statutes and regulations, from the informal constraints and enforcement mechanisms that determine whether those rules are actually observed, on the premise that institutions matter only to the extent that violations are reliably detected and sanctioned</w:t>
      </w:r>
      <w:r>
        <w:rPr>
          <w:rFonts w:eastAsia="Apple SD Gothic Neo Regular"/>
          <w:color w:val="121212"/>
        </w:rPr>
        <w:t>.</w:t>
      </w:r>
      <w:r>
        <w:rPr>
          <w:rFonts w:eastAsia="Apple SD Gothic Neo Regular"/>
          <w:color w:val="121212"/>
          <w:vertAlign w:val="superscript"/>
        </w:rPr>
        <w:t xml:space="preserve"> </w:t>
      </w:r>
      <w:r>
        <w:rPr>
          <w:color w:val="121212"/>
        </w:rPr>
        <w:t>N</w:t>
      </w:r>
      <w:r>
        <w:rPr>
          <w:color w:val="121212"/>
        </w:rPr>
        <w:t xml:space="preserve">orth defined institutions as the humanly devised constraints that structure human interaction, formal ones such as constitutions and statutes, and informal ones such as norms and conventions, and argued that a country’s institutional framework, not merely its formal legal text, </w:t>
      </w:r>
      <w:r>
        <w:rPr>
          <w:color w:val="121212"/>
        </w:rPr>
        <w:lastRenderedPageBreak/>
        <w:t>determines developmental outcomes</w:t>
      </w:r>
      <w:r>
        <w:rPr>
          <w:rFonts w:eastAsia="Apple SD Gothic Neo Regular"/>
          <w:color w:val="121212"/>
        </w:rPr>
        <w:t>.</w:t>
      </w:r>
      <w:r>
        <w:rPr>
          <w:rFonts w:eastAsia="Apple SD Gothic Neo Regular"/>
          <w:color w:val="121212"/>
          <w:vertAlign w:val="superscript"/>
        </w:rPr>
        <w:footnoteReference w:id="8"/>
      </w:r>
      <w:r>
        <w:rPr>
          <w:rFonts w:eastAsia="Apple SD Gothic Neo Regular"/>
          <w:color w:val="121212"/>
        </w:rPr>
        <w:t xml:space="preserve"> </w:t>
      </w:r>
      <w:r>
        <w:rPr>
          <w:color w:val="121212"/>
        </w:rPr>
        <w:t xml:space="preserve"> </w:t>
      </w:r>
    </w:p>
    <w:p w14:paraId="08C4A8B0" w14:textId="77777777" w:rsidR="003775F4" w:rsidRDefault="00602015" w:rsidP="00702BAC">
      <w:pPr>
        <w:spacing w:after="240" w:line="240" w:lineRule="auto"/>
        <w:rPr>
          <w:color w:val="121212"/>
        </w:rPr>
      </w:pPr>
      <w:r>
        <w:rPr>
          <w:color w:val="121212"/>
        </w:rPr>
        <w:t>This theory is relevant to the study because it grounds the paper’s central claim that Nigeria’s difficulty lies not in the formal architecture of its laws, which is in fact more extensive than Kenya’s or Indonesia’s, but in the absence of dependable enforcement, stable jurisdictional boundaries between regulators, and insulation from executive interference. North’s distinction between institutions on paper and institutions in practice gives the paper a precise vocabulary for separating statutory design fro</w:t>
      </w:r>
      <w:r>
        <w:rPr>
          <w:color w:val="121212"/>
        </w:rPr>
        <w:t>m regulatory performance when assessing each of the three jurisdictions.</w:t>
      </w:r>
    </w:p>
    <w:p w14:paraId="14FC3A99" w14:textId="6C6D2F4C" w:rsidR="003775F4" w:rsidRDefault="00602015" w:rsidP="00702BAC">
      <w:pPr>
        <w:spacing w:after="240" w:line="240" w:lineRule="auto"/>
        <w:rPr>
          <w:b/>
          <w:bCs/>
          <w:color w:val="121212"/>
        </w:rPr>
      </w:pPr>
      <w:r>
        <w:rPr>
          <w:b/>
          <w:bCs/>
          <w:color w:val="121212"/>
        </w:rPr>
        <w:t>2.3 Platform Governance Theory</w:t>
      </w:r>
    </w:p>
    <w:p w14:paraId="3B024592" w14:textId="77777777" w:rsidR="003775F4" w:rsidRDefault="00602015" w:rsidP="00702BAC">
      <w:pPr>
        <w:spacing w:after="240" w:line="240" w:lineRule="auto"/>
        <w:rPr>
          <w:color w:val="121212"/>
        </w:rPr>
      </w:pPr>
      <w:r>
        <w:rPr>
          <w:color w:val="121212"/>
        </w:rPr>
        <w:t>The theory was propounded by Robert Gorwa, who adapted an earlier model of transnational governance developed by Kenneth Abbott and Duncan Snidal to the specific dynamics of platform regulation.</w:t>
      </w:r>
      <w:r>
        <w:rPr>
          <w:rFonts w:eastAsia="Apple SD Gothic Neo Regular"/>
          <w:color w:val="121212"/>
          <w:vertAlign w:val="superscript"/>
        </w:rPr>
        <w:footnoteReference w:id="9"/>
      </w:r>
      <w:r>
        <w:rPr>
          <w:rFonts w:eastAsia="Apple SD Gothic Neo Regular"/>
          <w:color w:val="121212"/>
        </w:rPr>
        <w:t xml:space="preserve"> </w:t>
      </w:r>
      <w:r>
        <w:rPr>
          <w:color w:val="121212"/>
        </w:rPr>
        <w:t xml:space="preserve"> Because the object being regulated in this study is a digital platform operating across borders and mediating public discourse, rather than a conventional market actor, the paper draws on platform governance theory to </w:t>
      </w:r>
      <w:proofErr w:type="spellStart"/>
      <w:r>
        <w:rPr>
          <w:color w:val="121212"/>
        </w:rPr>
        <w:t>characterise</w:t>
      </w:r>
      <w:proofErr w:type="spellEnd"/>
      <w:r>
        <w:rPr>
          <w:color w:val="121212"/>
        </w:rPr>
        <w:t xml:space="preserve"> the governance challenge involved. This strand treats platforms as sites of contested authority situated within a triangular relationship between states, platform companies, and civil society, in which the balance of power and legitimacy among these actors shapes regulatory outc</w:t>
      </w:r>
      <w:r>
        <w:rPr>
          <w:color w:val="121212"/>
        </w:rPr>
        <w:t>omes as much as the formal law does</w:t>
      </w:r>
      <w:r>
        <w:rPr>
          <w:rFonts w:eastAsia="Apple SD Gothic Neo Regular"/>
          <w:color w:val="121212"/>
        </w:rPr>
        <w:t>.</w:t>
      </w:r>
      <w:r>
        <w:rPr>
          <w:rFonts w:eastAsia="Apple SD Gothic Neo Regular"/>
          <w:color w:val="121212"/>
          <w:vertAlign w:val="superscript"/>
        </w:rPr>
        <w:footnoteReference w:id="10"/>
      </w:r>
      <w:r>
        <w:rPr>
          <w:rFonts w:eastAsia="Apple SD Gothic Neo Regular"/>
          <w:color w:val="121212"/>
        </w:rPr>
        <w:t xml:space="preserve"> </w:t>
      </w:r>
      <w:r>
        <w:rPr>
          <w:color w:val="121212"/>
        </w:rPr>
        <w:t xml:space="preserve"> Nicolas Suzor’s related concept of digital constitutionalism complements this by arguing that legitimate platform governance requires a constitutional-style settlement among states, companies, and users, rather than governance imposed unilaterally by any one actor</w:t>
      </w:r>
      <w:r>
        <w:rPr>
          <w:rFonts w:eastAsia="Apple SD Gothic Neo Regular"/>
          <w:color w:val="121212"/>
        </w:rPr>
        <w:t>.</w:t>
      </w:r>
      <w:r>
        <w:rPr>
          <w:rFonts w:eastAsia="Apple SD Gothic Neo Regular"/>
          <w:color w:val="121212"/>
          <w:vertAlign w:val="superscript"/>
        </w:rPr>
        <w:footnoteReference w:id="11"/>
      </w:r>
      <w:r>
        <w:rPr>
          <w:rFonts w:eastAsia="Apple SD Gothic Neo Regular"/>
          <w:color w:val="121212"/>
        </w:rPr>
        <w:t xml:space="preserve"> </w:t>
      </w:r>
    </w:p>
    <w:p w14:paraId="69EF667D" w14:textId="77777777" w:rsidR="003775F4" w:rsidRDefault="00602015" w:rsidP="00702BAC">
      <w:pPr>
        <w:spacing w:after="240" w:line="240" w:lineRule="auto"/>
        <w:rPr>
          <w:b/>
          <w:bCs/>
          <w:color w:val="121212"/>
        </w:rPr>
      </w:pPr>
      <w:r>
        <w:rPr>
          <w:color w:val="121212"/>
        </w:rPr>
        <w:t xml:space="preserve">This theory is relevant to the study because it explains why multi-stakeholder engagement, a feature present in Kenya through bodies such as </w:t>
      </w:r>
      <w:proofErr w:type="spellStart"/>
      <w:r>
        <w:rPr>
          <w:color w:val="121212"/>
        </w:rPr>
        <w:t>KICTANet</w:t>
      </w:r>
      <w:proofErr w:type="spellEnd"/>
      <w:r>
        <w:rPr>
          <w:color w:val="121212"/>
        </w:rPr>
        <w:t xml:space="preserve"> and in Indonesia through coordinated inter-agency governance, but comparatively weak in Nigeria, functions as an independent variable in regulatory success rather than a peripheral good-governance ideal. It also supplies the analytical basis for treating the 2021 Twitter suspension in Nigeria as a case of unilateral state action outside the governance triangle, which explains why the episode damaged rather than built regulatory credibility.</w:t>
      </w:r>
    </w:p>
    <w:p w14:paraId="1BA50FA2" w14:textId="11827A8D" w:rsidR="003775F4" w:rsidRDefault="00602015" w:rsidP="00702BAC">
      <w:pPr>
        <w:pStyle w:val="Heading1"/>
        <w:spacing w:line="240" w:lineRule="auto"/>
        <w:rPr>
          <w:color w:val="121212"/>
          <w:sz w:val="24"/>
          <w:szCs w:val="24"/>
        </w:rPr>
      </w:pPr>
      <w:r>
        <w:rPr>
          <w:color w:val="121212"/>
          <w:sz w:val="24"/>
          <w:szCs w:val="24"/>
        </w:rPr>
        <w:t>3</w:t>
      </w:r>
      <w:r w:rsidR="00702BAC">
        <w:rPr>
          <w:color w:val="121212"/>
          <w:sz w:val="24"/>
          <w:szCs w:val="24"/>
        </w:rPr>
        <w:t>.0</w:t>
      </w:r>
      <w:r>
        <w:rPr>
          <w:color w:val="121212"/>
          <w:sz w:val="24"/>
          <w:szCs w:val="24"/>
        </w:rPr>
        <w:t xml:space="preserve"> </w:t>
      </w:r>
      <w:r w:rsidR="00702BAC">
        <w:rPr>
          <w:color w:val="121212"/>
          <w:sz w:val="24"/>
          <w:szCs w:val="24"/>
        </w:rPr>
        <w:t>REGULATORY APPROACHES OF PLATFORM ACCOUNTABILITY AND CONTENT MODERATION IN KENYA</w:t>
      </w:r>
    </w:p>
    <w:p w14:paraId="70228FEF" w14:textId="77777777" w:rsidR="003775F4" w:rsidRDefault="00602015" w:rsidP="00702BAC">
      <w:pPr>
        <w:spacing w:line="240" w:lineRule="auto"/>
        <w:rPr>
          <w:color w:val="121212"/>
        </w:rPr>
      </w:pPr>
      <w:r>
        <w:rPr>
          <w:color w:val="121212"/>
        </w:rPr>
        <w:t xml:space="preserve">However, regulation of platform accountability and moderation of content under Kenyan law can be characterized as one of the relatively well-structured governance models in the context of African digital regulations. Firstly, the starting point of Kenyan regulations concerning the issue </w:t>
      </w:r>
      <w:r>
        <w:rPr>
          <w:color w:val="121212"/>
        </w:rPr>
        <w:lastRenderedPageBreak/>
        <w:t>in question is contained in Article 33 of the Constitution of Kenya of 2010 which guarantees the right of freedom of expression; however, this protection will not extend to any kind of propaganda for war, incitement to violence, hate speech, or advocacy of hatred which constitutes ethnic incitement or vilification</w:t>
      </w:r>
      <w:r>
        <w:rPr>
          <w:rFonts w:eastAsia="Apple SD Gothic Neo Regular"/>
          <w:color w:val="121212"/>
        </w:rPr>
        <w:t>.</w:t>
      </w:r>
      <w:r>
        <w:rPr>
          <w:rFonts w:eastAsia="Apple SD Gothic Neo Regular"/>
          <w:color w:val="121212"/>
          <w:vertAlign w:val="superscript"/>
        </w:rPr>
        <w:footnoteReference w:id="12"/>
      </w:r>
      <w:r>
        <w:rPr>
          <w:rFonts w:eastAsia="Apple SD Gothic Neo Regular"/>
          <w:color w:val="121212"/>
        </w:rPr>
        <w:t xml:space="preserve"> </w:t>
      </w:r>
      <w:r>
        <w:rPr>
          <w:color w:val="121212"/>
        </w:rPr>
        <w:t>Consequently, this constitution-based balancing system provides Kenya with the better-normative basis for regulation of harmful digital content compared to most of its neighboring countries. In addition to this, the regulation of communication in Kenya acknowledges the possibility that free speech may pose a threat to societal values such as peace, order, and democracy in this ethnically sensitive country</w:t>
      </w:r>
      <w:r>
        <w:rPr>
          <w:rFonts w:eastAsia="Apple SD Gothic Neo Regular"/>
          <w:color w:val="121212"/>
        </w:rPr>
        <w:t>.</w:t>
      </w:r>
      <w:r>
        <w:rPr>
          <w:rFonts w:eastAsia="Apple SD Gothic Neo Regular"/>
          <w:color w:val="121212"/>
          <w:vertAlign w:val="superscript"/>
        </w:rPr>
        <w:footnoteReference w:id="13"/>
      </w:r>
      <w:r>
        <w:rPr>
          <w:rFonts w:eastAsia="Apple SD Gothic Neo Regular"/>
          <w:color w:val="121212"/>
        </w:rPr>
        <w:t xml:space="preserve"> </w:t>
      </w:r>
    </w:p>
    <w:p w14:paraId="14670143" w14:textId="77777777" w:rsidR="003775F4" w:rsidRDefault="00602015" w:rsidP="00702BAC">
      <w:pPr>
        <w:spacing w:line="240" w:lineRule="auto"/>
        <w:rPr>
          <w:color w:val="121212"/>
        </w:rPr>
      </w:pPr>
      <w:r>
        <w:rPr>
          <w:color w:val="121212"/>
        </w:rPr>
        <w:t>Furthermore, several pieces of legislation provide the basis for digital platform regulation in Kenya. Specifically, the core regulation of digital communication is provided for by the Kenya Information and Communications Act</w:t>
      </w:r>
      <w:r>
        <w:rPr>
          <w:rFonts w:eastAsia="Apple SD Gothic Neo Regular"/>
          <w:color w:val="121212"/>
        </w:rPr>
        <w:t>.</w:t>
      </w:r>
      <w:r>
        <w:rPr>
          <w:rFonts w:eastAsia="Apple SD Gothic Neo Regular"/>
          <w:color w:val="121212"/>
          <w:vertAlign w:val="superscript"/>
        </w:rPr>
        <w:footnoteReference w:id="14"/>
      </w:r>
      <w:r>
        <w:rPr>
          <w:rFonts w:eastAsia="Apple SD Gothic Neo Regular"/>
          <w:color w:val="121212"/>
        </w:rPr>
        <w:t xml:space="preserve"> </w:t>
      </w:r>
      <w:r>
        <w:rPr>
          <w:color w:val="121212"/>
        </w:rPr>
        <w:t>The Act confers significant supervisory powers on the CA, covering issues like licensing, monitoring of compliance, issuing directives, and regulating content. As opposed to many African countries whose regulations create ambiguity about whether telecommunications regulators have jurisdictional powers over digital platforms, the regulatory framework in Kenya is explicit when it comes to content on the Internet</w:t>
      </w:r>
      <w:r>
        <w:rPr>
          <w:rFonts w:eastAsia="Apple SD Gothic Neo Regular"/>
          <w:color w:val="121212"/>
        </w:rPr>
        <w:t>.</w:t>
      </w:r>
      <w:r>
        <w:rPr>
          <w:rFonts w:eastAsia="Apple SD Gothic Neo Regular"/>
          <w:color w:val="121212"/>
          <w:vertAlign w:val="superscript"/>
        </w:rPr>
        <w:footnoteReference w:id="15"/>
      </w:r>
      <w:r>
        <w:rPr>
          <w:rFonts w:eastAsia="Apple SD Gothic Neo Regular"/>
          <w:color w:val="121212"/>
        </w:rPr>
        <w:t xml:space="preserve"> </w:t>
      </w:r>
      <w:r>
        <w:rPr>
          <w:color w:val="121212"/>
        </w:rPr>
        <w:t>This has allowed the CA to influence content regulation standards on social media sites and engage with digital intermediaries.</w:t>
      </w:r>
    </w:p>
    <w:p w14:paraId="06A8548E" w14:textId="77777777" w:rsidR="003775F4" w:rsidRDefault="00602015" w:rsidP="00702BAC">
      <w:pPr>
        <w:spacing w:line="240" w:lineRule="auto"/>
        <w:rPr>
          <w:color w:val="121212"/>
        </w:rPr>
      </w:pPr>
      <w:r>
        <w:rPr>
          <w:color w:val="121212"/>
        </w:rPr>
        <w:t>The Computer Misuse and Cybercrimes Act, passed into law in 2018, enhances the existing legislative framework through the criminalization of various online activities such as cyber harassment, identity theft, cyberbullying, publication of fake information, and hate speech</w:t>
      </w:r>
      <w:r>
        <w:rPr>
          <w:rFonts w:eastAsia="Apple SD Gothic Neo Regular"/>
          <w:color w:val="121212"/>
        </w:rPr>
        <w:t>.</w:t>
      </w:r>
      <w:r>
        <w:rPr>
          <w:rFonts w:eastAsia="Apple SD Gothic Neo Regular"/>
          <w:color w:val="121212"/>
          <w:vertAlign w:val="superscript"/>
        </w:rPr>
        <w:footnoteReference w:id="16"/>
      </w:r>
      <w:r>
        <w:rPr>
          <w:rFonts w:eastAsia="Apple SD Gothic Neo Regular"/>
          <w:color w:val="121212"/>
        </w:rPr>
        <w:t xml:space="preserve"> </w:t>
      </w:r>
      <w:r>
        <w:rPr>
          <w:color w:val="121212"/>
        </w:rPr>
        <w:t>One motivation behind the passage of this Act was to address challenges such as disinformation, online incitement, and cyber insecurities. While the Act has been commended as contributing to Kenya’s cyber security governance, it has faced criticism from civil society and digital rights activists because some of its provisions are vague and could be misused by the state against journalists and activists</w:t>
      </w:r>
      <w:r>
        <w:rPr>
          <w:rFonts w:eastAsia="Apple SD Gothic Neo Regular"/>
          <w:color w:val="121212"/>
        </w:rPr>
        <w:t>.</w:t>
      </w:r>
      <w:r>
        <w:rPr>
          <w:rFonts w:eastAsia="Apple SD Gothic Neo Regular"/>
          <w:color w:val="121212"/>
          <w:vertAlign w:val="superscript"/>
        </w:rPr>
        <w:footnoteReference w:id="17"/>
      </w:r>
      <w:r>
        <w:rPr>
          <w:rFonts w:eastAsia="Apple SD Gothic Neo Regular"/>
          <w:color w:val="121212"/>
        </w:rPr>
        <w:t xml:space="preserve"> </w:t>
      </w:r>
      <w:r>
        <w:rPr>
          <w:color w:val="121212"/>
        </w:rPr>
        <w:t>In particular, provisions relating to “false information” have been criticized for potentially chilling legitimate expression and investigative journalism. Nevertheless, despite these concerns, the Act remains a significant component of Kenya’s platform accountability regime because it establishes a legal basis through which digital intermediaries may be compelled to cooperate with law enforcement authorities in addressing unlawful online content</w:t>
      </w:r>
      <w:r>
        <w:rPr>
          <w:rFonts w:eastAsia="Apple SD Gothic Neo Regular"/>
          <w:color w:val="121212"/>
        </w:rPr>
        <w:t>.</w:t>
      </w:r>
      <w:r>
        <w:rPr>
          <w:rFonts w:eastAsia="Apple SD Gothic Neo Regular"/>
          <w:color w:val="121212"/>
          <w:vertAlign w:val="superscript"/>
        </w:rPr>
        <w:footnoteReference w:id="18"/>
      </w:r>
      <w:r>
        <w:rPr>
          <w:rFonts w:eastAsia="Apple SD Gothic Neo Regular"/>
          <w:color w:val="121212"/>
        </w:rPr>
        <w:t xml:space="preserve"> </w:t>
      </w:r>
    </w:p>
    <w:p w14:paraId="07D83586" w14:textId="77777777" w:rsidR="003775F4" w:rsidRDefault="00602015" w:rsidP="00702BAC">
      <w:pPr>
        <w:spacing w:line="240" w:lineRule="auto"/>
        <w:rPr>
          <w:color w:val="121212"/>
        </w:rPr>
      </w:pPr>
      <w:r>
        <w:rPr>
          <w:color w:val="121212"/>
        </w:rPr>
        <w:lastRenderedPageBreak/>
        <w:t>Another equally critical pillar within the platform governance system of Kenya is the Data Protection Act of 2019. The law established the office of the data protection commissioner, which regulates the process of collecting, storing, processing, and transferring personal data according to the international privacy regulations</w:t>
      </w:r>
      <w:r>
        <w:rPr>
          <w:rFonts w:eastAsia="Apple SD Gothic Neo Regular"/>
          <w:color w:val="121212"/>
        </w:rPr>
        <w:t>.</w:t>
      </w:r>
      <w:r>
        <w:rPr>
          <w:rFonts w:eastAsia="Apple SD Gothic Neo Regular"/>
          <w:color w:val="121212"/>
          <w:vertAlign w:val="superscript"/>
        </w:rPr>
        <w:footnoteReference w:id="19"/>
      </w:r>
      <w:r>
        <w:rPr>
          <w:rFonts w:eastAsia="Apple SD Gothic Neo Regular"/>
          <w:color w:val="121212"/>
        </w:rPr>
        <w:t xml:space="preserve"> </w:t>
      </w:r>
      <w:r>
        <w:rPr>
          <w:color w:val="121212"/>
        </w:rPr>
        <w:t>Besides privacy issues, the law is also important from the perspective of platform accountability since it touches upon some issues concerning algorithmic governance and automated content moderation. Kenya, through the Data Protection Commissioner's Office, has institutionalized the capacity to deal with algorithmic profiling, targeted advertisement, and data misuse through recommendation systems</w:t>
      </w:r>
      <w:r>
        <w:rPr>
          <w:rFonts w:eastAsia="Apple SD Gothic Neo Regular"/>
          <w:color w:val="121212"/>
        </w:rPr>
        <w:t>.</w:t>
      </w:r>
      <w:r>
        <w:rPr>
          <w:rFonts w:eastAsia="Apple SD Gothic Neo Regular"/>
          <w:color w:val="121212"/>
          <w:vertAlign w:val="superscript"/>
        </w:rPr>
        <w:footnoteReference w:id="20"/>
      </w:r>
      <w:r>
        <w:rPr>
          <w:rFonts w:eastAsia="Apple SD Gothic Neo Regular"/>
          <w:color w:val="121212"/>
        </w:rPr>
        <w:t xml:space="preserve"> </w:t>
      </w:r>
      <w:r>
        <w:rPr>
          <w:color w:val="121212"/>
        </w:rPr>
        <w:t>The country understands the issue of platform accountability beyond content moderation but considers platform governance in its broadest sense.</w:t>
      </w:r>
    </w:p>
    <w:p w14:paraId="6813EFB4" w14:textId="77777777" w:rsidR="003775F4" w:rsidRDefault="00602015" w:rsidP="00702BAC">
      <w:pPr>
        <w:spacing w:line="240" w:lineRule="auto"/>
        <w:rPr>
          <w:color w:val="121212"/>
        </w:rPr>
      </w:pPr>
      <w:r>
        <w:rPr>
          <w:color w:val="121212"/>
        </w:rPr>
        <w:t>Kenya’s institutional design for the governance of content moderation has a distinct multi-party characteristic. Although the Communications Authority of Kenya is considered the lead agency overseeing the sector, other agencies such as the National Cohesion and Integration Commission play a significant role in content regulation. In particular, NCIC has been active in monitoring and prosecuting cases of hate speech on social media, especially during election times</w:t>
      </w:r>
      <w:r>
        <w:rPr>
          <w:rFonts w:eastAsia="Apple SD Gothic Neo Regular"/>
          <w:color w:val="121212"/>
        </w:rPr>
        <w:t>.</w:t>
      </w:r>
      <w:r>
        <w:rPr>
          <w:rFonts w:eastAsia="Apple SD Gothic Neo Regular"/>
          <w:color w:val="121212"/>
          <w:vertAlign w:val="superscript"/>
        </w:rPr>
        <w:footnoteReference w:id="21"/>
      </w:r>
      <w:r>
        <w:rPr>
          <w:rFonts w:eastAsia="Apple SD Gothic Neo Regular"/>
          <w:color w:val="121212"/>
        </w:rPr>
        <w:t xml:space="preserve"> </w:t>
      </w:r>
      <w:r>
        <w:rPr>
          <w:color w:val="121212"/>
        </w:rPr>
        <w:t>The judiciary has also emerged as an influential actor in Kenya’s digital governance framework by actively adjudicating disputes involving freedom of expression, surveillance, and online regulation. Kenyan courts have on several occasions reviewed executive and regulatory actions affecting digital rights, thereby contributing to the development of constitutional jurisprudence on online expression and platform regulation</w:t>
      </w:r>
      <w:r>
        <w:rPr>
          <w:rFonts w:eastAsia="Apple SD Gothic Neo Regular"/>
          <w:color w:val="121212"/>
        </w:rPr>
        <w:t>.</w:t>
      </w:r>
      <w:r>
        <w:rPr>
          <w:rFonts w:eastAsia="Apple SD Gothic Neo Regular"/>
          <w:color w:val="121212"/>
          <w:vertAlign w:val="superscript"/>
        </w:rPr>
        <w:footnoteReference w:id="22"/>
      </w:r>
      <w:r>
        <w:rPr>
          <w:rFonts w:eastAsia="Apple SD Gothic Neo Regular"/>
          <w:color w:val="121212"/>
        </w:rPr>
        <w:t xml:space="preserve"> </w:t>
      </w:r>
    </w:p>
    <w:p w14:paraId="5F8DBBB1" w14:textId="77777777" w:rsidR="003775F4" w:rsidRDefault="00602015" w:rsidP="00702BAC">
      <w:pPr>
        <w:spacing w:line="240" w:lineRule="auto"/>
        <w:rPr>
          <w:color w:val="121212"/>
        </w:rPr>
      </w:pPr>
      <w:r>
        <w:rPr>
          <w:color w:val="121212"/>
        </w:rPr>
        <w:t>However, apart from formal regulations, Kenya has increasingly been engaging in collaborations and co-regulation practices in digital governance. Specifically, the Digital Economy Blueprint in Kenya emphasizes collaboration with stakeholders from governments, digital platforms, NGOs, academia, and international organizations. The co-regulatory approach in digital governance is based on the assumption that content moderation cannot be achieved only through regulatory actions by the state, but it needs consta</w:t>
      </w:r>
      <w:r>
        <w:rPr>
          <w:color w:val="121212"/>
        </w:rPr>
        <w:t>nt dialogues among different actors. In multi-stakeholder initiatives, Kenya has been able to establish more sensitive regulatory measures related to hate speech, disinformation, and content moderation during elections</w:t>
      </w:r>
      <w:r>
        <w:rPr>
          <w:rFonts w:eastAsia="Apple SD Gothic Neo Regular"/>
          <w:color w:val="121212"/>
        </w:rPr>
        <w:t>.</w:t>
      </w:r>
      <w:r>
        <w:rPr>
          <w:rFonts w:eastAsia="Apple SD Gothic Neo Regular"/>
          <w:color w:val="121212"/>
          <w:vertAlign w:val="superscript"/>
        </w:rPr>
        <w:footnoteReference w:id="23"/>
      </w:r>
      <w:r>
        <w:rPr>
          <w:rFonts w:eastAsia="Apple SD Gothic Neo Regular"/>
          <w:color w:val="121212"/>
        </w:rPr>
        <w:t xml:space="preserve"> </w:t>
      </w:r>
      <w:r>
        <w:rPr>
          <w:color w:val="121212"/>
        </w:rPr>
        <w:t xml:space="preserve">In this regard, initiatives that involve such actors as UNESCO, Paradigm Initiative, the Media Council of Kenya, and Code for Africa contribute to policy discussions towards greater transparency and accountability in platform </w:t>
      </w:r>
      <w:r>
        <w:rPr>
          <w:color w:val="121212"/>
        </w:rPr>
        <w:lastRenderedPageBreak/>
        <w:t>governance frameworks.</w:t>
      </w:r>
      <w:r>
        <w:rPr>
          <w:rFonts w:eastAsia="Apple SD Gothic Neo Regular"/>
          <w:color w:val="121212"/>
          <w:vertAlign w:val="superscript"/>
        </w:rPr>
        <w:footnoteReference w:id="24"/>
      </w:r>
      <w:r>
        <w:rPr>
          <w:rFonts w:eastAsia="Apple SD Gothic Neo Regular"/>
          <w:color w:val="121212"/>
        </w:rPr>
        <w:t xml:space="preserve"> </w:t>
      </w:r>
    </w:p>
    <w:p w14:paraId="5F00E243" w14:textId="77777777" w:rsidR="003775F4" w:rsidRDefault="00602015" w:rsidP="00702BAC">
      <w:pPr>
        <w:spacing w:line="240" w:lineRule="auto"/>
        <w:rPr>
          <w:color w:val="121212"/>
        </w:rPr>
      </w:pPr>
      <w:r>
        <w:rPr>
          <w:color w:val="121212"/>
        </w:rPr>
        <w:t>Furthermore, there have been several attempts to align domestic regulation with international standards in the domain of digital platform governance. For instance, the National Guidelines on Digital Disinformation and Hate Speech in 2025 represent attempts to harmonize domestic regulation with such international policies as UNESCO's Guidelines for the Governance of Digital Platforms. The emphasis on international best practices has further strengthened Kenya’s credibility as a jurisdiction attempting to bal</w:t>
      </w:r>
      <w:r>
        <w:rPr>
          <w:color w:val="121212"/>
        </w:rPr>
        <w:t>ance platform accountability with protection of fundamental rights</w:t>
      </w:r>
      <w:r>
        <w:rPr>
          <w:rFonts w:eastAsia="Apple SD Gothic Neo Regular"/>
          <w:color w:val="121212"/>
        </w:rPr>
        <w:t>.</w:t>
      </w:r>
      <w:r>
        <w:rPr>
          <w:rFonts w:eastAsia="Apple SD Gothic Neo Regular"/>
          <w:color w:val="121212"/>
          <w:vertAlign w:val="superscript"/>
        </w:rPr>
        <w:footnoteReference w:id="25"/>
      </w:r>
      <w:r>
        <w:rPr>
          <w:rFonts w:eastAsia="Apple SD Gothic Neo Regular"/>
          <w:color w:val="121212"/>
        </w:rPr>
        <w:t xml:space="preserve"> </w:t>
      </w:r>
      <w:r>
        <w:rPr>
          <w:color w:val="121212"/>
        </w:rPr>
        <w:t xml:space="preserve">Despite these strengths, Kenya’s regulatory framework is not without limitations. Resource constraints continue to affect the enforcement capacity of regulatory institutions such as the Communications Authority and the NCIC. Concerns also persist regarding the possibility of executive overreach and misuse of cybercrime legislation to suppress dissenting voices. </w:t>
      </w:r>
    </w:p>
    <w:p w14:paraId="668C09EB" w14:textId="2F71B9C3" w:rsidR="003775F4" w:rsidRDefault="00602015" w:rsidP="00702BAC">
      <w:pPr>
        <w:pStyle w:val="Heading1"/>
        <w:spacing w:line="240" w:lineRule="auto"/>
        <w:rPr>
          <w:color w:val="121212"/>
          <w:sz w:val="24"/>
          <w:szCs w:val="24"/>
        </w:rPr>
      </w:pPr>
      <w:r>
        <w:rPr>
          <w:color w:val="121212"/>
          <w:sz w:val="24"/>
          <w:szCs w:val="24"/>
        </w:rPr>
        <w:t>4</w:t>
      </w:r>
      <w:r w:rsidR="00702BAC">
        <w:rPr>
          <w:color w:val="121212"/>
          <w:sz w:val="24"/>
          <w:szCs w:val="24"/>
        </w:rPr>
        <w:t>.0</w:t>
      </w:r>
      <w:r>
        <w:rPr>
          <w:color w:val="121212"/>
          <w:sz w:val="24"/>
          <w:szCs w:val="24"/>
        </w:rPr>
        <w:t xml:space="preserve"> </w:t>
      </w:r>
      <w:r w:rsidR="00702BAC">
        <w:rPr>
          <w:color w:val="121212"/>
          <w:sz w:val="24"/>
          <w:szCs w:val="24"/>
        </w:rPr>
        <w:t>REGULATORY APPROACHES OF PLATFORM ACCOUNTABILITY AND CONTENT MODERATION IN INDONESIA</w:t>
      </w:r>
    </w:p>
    <w:p w14:paraId="7BE0BD0B" w14:textId="77777777" w:rsidR="003775F4" w:rsidRDefault="00602015" w:rsidP="00702BAC">
      <w:pPr>
        <w:spacing w:after="240" w:line="240" w:lineRule="auto"/>
        <w:rPr>
          <w:color w:val="121212"/>
        </w:rPr>
      </w:pPr>
      <w:r>
        <w:rPr>
          <w:color w:val="121212"/>
        </w:rPr>
        <w:t xml:space="preserve">A unique example of a robust and fairly assertive approach to platform accountability and content moderation legislation is that of Indonesia, which is distinguished by the presence of clear government authority, effective law enforcement machinery, and credible penalties for those who do not comply. As one of the largest digital markets in the world with an estimated 277 million people and more than 200 million internet users, Indonesia has a strategically important position in the global digital economy. </w:t>
      </w:r>
      <w:r>
        <w:rPr>
          <w:color w:val="121212"/>
        </w:rPr>
        <w:t>This large market helps the government of Indonesia exercise its influence on multinationals to ensure their compliance in a manner not possible in many other developing countries. This makes Indonesia’s digital platform governance system one of the most influential in the Global South.</w:t>
      </w:r>
    </w:p>
    <w:p w14:paraId="39D4F0AC" w14:textId="77777777" w:rsidR="003775F4" w:rsidRDefault="00602015" w:rsidP="00702BAC">
      <w:pPr>
        <w:spacing w:after="240" w:line="240" w:lineRule="auto"/>
        <w:rPr>
          <w:color w:val="121212"/>
        </w:rPr>
      </w:pPr>
      <w:r>
        <w:rPr>
          <w:color w:val="121212"/>
        </w:rPr>
        <w:t>The core of the digital regulation in Indonesia lies in Law Number 11 of 2008 on Electronic Information and Transactions, popularly known as the ITE Law, which was subsequently amended in 2016. It criminalizes the dissemination of electronic content considered defamatory, obscene, threatening, or contrary to public morality</w:t>
      </w:r>
      <w:r>
        <w:rPr>
          <w:rFonts w:eastAsia="Apple SD Gothic Neo Regular"/>
          <w:color w:val="121212"/>
        </w:rPr>
        <w:t>.</w:t>
      </w:r>
      <w:r>
        <w:rPr>
          <w:rFonts w:eastAsia="Apple SD Gothic Neo Regular"/>
          <w:color w:val="121212"/>
          <w:vertAlign w:val="superscript"/>
        </w:rPr>
        <w:footnoteReference w:id="26"/>
      </w:r>
      <w:r>
        <w:rPr>
          <w:rFonts w:eastAsia="Apple SD Gothic Neo Regular"/>
          <w:color w:val="121212"/>
        </w:rPr>
        <w:t xml:space="preserve"> </w:t>
      </w:r>
      <w:r>
        <w:rPr>
          <w:color w:val="121212"/>
        </w:rPr>
        <w:t>The legislation was initially introduced to strengthen cybersecurity and facilitate electronic commerce, but over time it became a central instrument in Indonesia’s content moderation architecture. The broad wording of several provisions has enabled authorities to exercise extensive oversight over online expression, thereby positioning the ITE Law as both a platform accountability mechanism and a tool of digital governance more generally.</w:t>
      </w:r>
      <w:r>
        <w:rPr>
          <w:rFonts w:eastAsia="Apple SD Gothic Neo Regular"/>
          <w:color w:val="121212"/>
          <w:vertAlign w:val="superscript"/>
        </w:rPr>
        <w:footnoteReference w:id="27"/>
      </w:r>
      <w:r>
        <w:rPr>
          <w:rFonts w:eastAsia="Apple SD Gothic Neo Regular"/>
          <w:color w:val="121212"/>
        </w:rPr>
        <w:t xml:space="preserve"> </w:t>
      </w:r>
    </w:p>
    <w:p w14:paraId="65B661EC" w14:textId="77777777" w:rsidR="003775F4" w:rsidRDefault="00602015" w:rsidP="00702BAC">
      <w:pPr>
        <w:spacing w:after="240" w:line="240" w:lineRule="auto"/>
        <w:rPr>
          <w:color w:val="121212"/>
        </w:rPr>
      </w:pPr>
      <w:r>
        <w:rPr>
          <w:color w:val="121212"/>
        </w:rPr>
        <w:lastRenderedPageBreak/>
        <w:t>The enforcement of the ITE Law is further fortified by Government Regulation No. 71 of 2019 on the Implementation of Electronic Systems and Transactions (GR 71)</w:t>
      </w:r>
      <w:r>
        <w:rPr>
          <w:rFonts w:eastAsia="Apple SD Gothic Neo Regular"/>
          <w:color w:val="121212"/>
        </w:rPr>
        <w:t>.</w:t>
      </w:r>
      <w:r>
        <w:rPr>
          <w:rFonts w:eastAsia="Apple SD Gothic Neo Regular"/>
          <w:color w:val="121212"/>
          <w:vertAlign w:val="superscript"/>
        </w:rPr>
        <w:footnoteReference w:id="28"/>
      </w:r>
      <w:r>
        <w:rPr>
          <w:rFonts w:eastAsia="Apple SD Gothic Neo Regular"/>
          <w:color w:val="121212"/>
        </w:rPr>
        <w:t xml:space="preserve"> </w:t>
      </w:r>
      <w:r>
        <w:rPr>
          <w:color w:val="121212"/>
        </w:rPr>
        <w:t>The regulation details the duties assigned to electronic system operators such as social media platforms, digital intermediaries, and online service providers. Among those are the need to implement an efficient system for content management, cooperating with government authorities in providing information when requested, and following the directive related to content removal. Moreover, duties regarding data storage and system reliability were established, reflecting Indonesia’s efforts at integrating cyber</w:t>
      </w:r>
      <w:r>
        <w:rPr>
          <w:color w:val="121212"/>
        </w:rPr>
        <w:t>security, data governance, and platform regulation into a comprehensive policy framework</w:t>
      </w:r>
      <w:r>
        <w:rPr>
          <w:rFonts w:eastAsia="Apple SD Gothic Neo Regular"/>
          <w:color w:val="121212"/>
        </w:rPr>
        <w:t>.</w:t>
      </w:r>
      <w:r>
        <w:rPr>
          <w:rFonts w:eastAsia="Apple SD Gothic Neo Regular"/>
          <w:color w:val="121212"/>
          <w:vertAlign w:val="superscript"/>
        </w:rPr>
        <w:footnoteReference w:id="29"/>
      </w:r>
      <w:r>
        <w:rPr>
          <w:rFonts w:eastAsia="Apple SD Gothic Neo Regular"/>
          <w:color w:val="121212"/>
        </w:rPr>
        <w:t xml:space="preserve"> </w:t>
      </w:r>
      <w:r>
        <w:rPr>
          <w:color w:val="121212"/>
        </w:rPr>
        <w:t>By directly assigning duties to electronic system operators, this regulation enables the Indonesian government to obtain operational cooperation from digital platforms.</w:t>
      </w:r>
    </w:p>
    <w:p w14:paraId="067C4F9E" w14:textId="77777777" w:rsidR="003775F4" w:rsidRDefault="00602015" w:rsidP="00702BAC">
      <w:pPr>
        <w:spacing w:after="240" w:line="240" w:lineRule="auto"/>
        <w:rPr>
          <w:color w:val="121212"/>
        </w:rPr>
      </w:pPr>
      <w:r>
        <w:rPr>
          <w:color w:val="121212"/>
        </w:rPr>
        <w:t xml:space="preserve">The hallmark of regulation in Indonesia is the credibility of its enforcement mechanisms. Whereas other countries merely engage in rhetorical threats through regulation, Indonesia has proven itself to be capable of imposing material harm on platforms not abiding by the law. This can be seen in the enforcement actions undertaken by </w:t>
      </w:r>
      <w:proofErr w:type="spellStart"/>
      <w:r>
        <w:rPr>
          <w:color w:val="121212"/>
        </w:rPr>
        <w:t>Kominfo</w:t>
      </w:r>
      <w:proofErr w:type="spellEnd"/>
      <w:r>
        <w:rPr>
          <w:color w:val="121212"/>
        </w:rPr>
        <w:t xml:space="preserve"> in August 2022, which involved blocking several major websites such as Steam, PayPal, Yahoo, and Epic Games due to their failure to register in accordance with the regulations set out in MR 5/2020</w:t>
      </w:r>
      <w:r>
        <w:rPr>
          <w:rFonts w:eastAsia="Apple SD Gothic Neo Regular"/>
          <w:color w:val="121212"/>
        </w:rPr>
        <w:t>.</w:t>
      </w:r>
      <w:r>
        <w:rPr>
          <w:rFonts w:eastAsia="Apple SD Gothic Neo Regular"/>
          <w:color w:val="121212"/>
          <w:vertAlign w:val="superscript"/>
        </w:rPr>
        <w:footnoteReference w:id="30"/>
      </w:r>
      <w:r>
        <w:rPr>
          <w:rFonts w:eastAsia="Apple SD Gothic Neo Regular"/>
          <w:color w:val="121212"/>
        </w:rPr>
        <w:t xml:space="preserve"> </w:t>
      </w:r>
      <w:r>
        <w:rPr>
          <w:color w:val="121212"/>
        </w:rPr>
        <w:t>Despite being restored in the days after their initial registration, the blocking event brought several important regulatory lessons for both regulators and companies alike. First, Indonesia was willing to enforce its digital laws against even the largest tech companies in the world. Second, the enforcement action created a new power dynamic in the bargaining position of the Indonesian government towards digital platforms by making it clear that non-compliance would have serious ramifications</w:t>
      </w:r>
      <w:r>
        <w:rPr>
          <w:rFonts w:eastAsia="Apple SD Gothic Neo Regular"/>
          <w:color w:val="121212"/>
        </w:rPr>
        <w:t>.</w:t>
      </w:r>
      <w:r>
        <w:rPr>
          <w:rFonts w:eastAsia="Apple SD Gothic Neo Regular"/>
          <w:color w:val="121212"/>
          <w:vertAlign w:val="superscript"/>
        </w:rPr>
        <w:footnoteReference w:id="31"/>
      </w:r>
      <w:r>
        <w:rPr>
          <w:rFonts w:eastAsia="Apple SD Gothic Neo Regular"/>
          <w:color w:val="121212"/>
        </w:rPr>
        <w:t xml:space="preserve"> </w:t>
      </w:r>
      <w:r>
        <w:rPr>
          <w:rFonts w:eastAsia="Apple SD Gothic Neo Regular"/>
          <w:color w:val="121212"/>
        </w:rPr>
        <w:t xml:space="preserve"> </w:t>
      </w:r>
      <w:r>
        <w:rPr>
          <w:color w:val="121212"/>
        </w:rPr>
        <w:t>In light of the August 2022 blocking event, the major tech platforms such as Meta, Google, X (formerly Twitter), TikTok, and WhatsApp complied with the Indonesian regulatory regime by registering and appointing local agents in order to engage in dialogues with government agencies. Moreover, sanctions that can take the form of financial penalties and even access blocking would encourage platforms to be more cooperative</w:t>
      </w:r>
      <w:r>
        <w:rPr>
          <w:rFonts w:eastAsia="Apple SD Gothic Neo Regular"/>
          <w:color w:val="121212"/>
        </w:rPr>
        <w:t>.</w:t>
      </w:r>
      <w:r>
        <w:rPr>
          <w:rFonts w:eastAsia="Apple SD Gothic Neo Regular"/>
          <w:color w:val="121212"/>
          <w:vertAlign w:val="superscript"/>
        </w:rPr>
        <w:footnoteReference w:id="32"/>
      </w:r>
      <w:r>
        <w:rPr>
          <w:rFonts w:eastAsia="Apple SD Gothic Neo Regular"/>
          <w:color w:val="121212"/>
        </w:rPr>
        <w:t xml:space="preserve"> </w:t>
      </w:r>
      <w:r>
        <w:rPr>
          <w:color w:val="121212"/>
        </w:rPr>
        <w:t xml:space="preserve"> </w:t>
      </w:r>
    </w:p>
    <w:p w14:paraId="4FC3AE70" w14:textId="77777777" w:rsidR="003775F4" w:rsidRDefault="00602015" w:rsidP="00702BAC">
      <w:pPr>
        <w:spacing w:after="240" w:line="240" w:lineRule="auto"/>
        <w:rPr>
          <w:color w:val="121212"/>
        </w:rPr>
      </w:pPr>
      <w:r>
        <w:rPr>
          <w:color w:val="121212"/>
        </w:rPr>
        <w:t xml:space="preserve">Inter-agency coordination also contributes to Indonesia’s ability to effectively regulate digital space. In this regard, </w:t>
      </w:r>
      <w:proofErr w:type="spellStart"/>
      <w:r>
        <w:rPr>
          <w:color w:val="121212"/>
        </w:rPr>
        <w:t>Kominfo</w:t>
      </w:r>
      <w:proofErr w:type="spellEnd"/>
      <w:r>
        <w:rPr>
          <w:color w:val="121212"/>
        </w:rPr>
        <w:t xml:space="preserve"> works together with specialized agencies like the National Cyber and Encryption Agency (BSSN). The BSSN is responsible for overseeing cybersecurity and protection of digital infrastructure. Furthermore, there are several other agencies operating in the </w:t>
      </w:r>
      <w:r>
        <w:rPr>
          <w:color w:val="121212"/>
        </w:rPr>
        <w:lastRenderedPageBreak/>
        <w:t>sphere. For instance, the Financial Services Authority (OJK) and General Elections Commission (KPU) have an important role in regulating various aspects of the digital domain within particular sectors</w:t>
      </w:r>
      <w:r>
        <w:rPr>
          <w:rFonts w:eastAsia="Apple SD Gothic Neo Regular"/>
          <w:color w:val="121212"/>
        </w:rPr>
        <w:t>.</w:t>
      </w:r>
      <w:r>
        <w:rPr>
          <w:rFonts w:eastAsia="Apple SD Gothic Neo Regular"/>
          <w:color w:val="121212"/>
          <w:vertAlign w:val="superscript"/>
        </w:rPr>
        <w:footnoteReference w:id="33"/>
      </w:r>
      <w:r>
        <w:rPr>
          <w:rFonts w:eastAsia="Apple SD Gothic Neo Regular"/>
          <w:color w:val="121212"/>
        </w:rPr>
        <w:t xml:space="preserve"> </w:t>
      </w:r>
      <w:r>
        <w:rPr>
          <w:color w:val="121212"/>
        </w:rPr>
        <w:t>Thus, KPU manages the cooperation with digital platforms when it comes to preventing disinformation during elections.</w:t>
      </w:r>
    </w:p>
    <w:p w14:paraId="68563D72" w14:textId="77777777" w:rsidR="003775F4" w:rsidRDefault="00602015" w:rsidP="00702BAC">
      <w:pPr>
        <w:spacing w:after="240" w:line="240" w:lineRule="auto"/>
        <w:rPr>
          <w:color w:val="121212"/>
        </w:rPr>
      </w:pPr>
      <w:r>
        <w:rPr>
          <w:color w:val="121212"/>
        </w:rPr>
        <w:t>Notwithstanding the strengths of its regulatory framework, Indonesia’s model has also faced consistent criticism from civil society organizations, investigative journalists, and digital rights groups. According to advocacy groups such as Southeast Asia Freedom of Expression Network (</w:t>
      </w:r>
      <w:proofErr w:type="spellStart"/>
      <w:r>
        <w:rPr>
          <w:color w:val="121212"/>
        </w:rPr>
        <w:t>SAFEnet</w:t>
      </w:r>
      <w:proofErr w:type="spellEnd"/>
      <w:r>
        <w:rPr>
          <w:color w:val="121212"/>
        </w:rPr>
        <w:t>) and Amnesty International Indonesia, several provisions within the Information and Electronic Transaction Law, especially those dealing with defamation and spreading of misinformation, have been used to prosecute activists, journalists, and political dissidents</w:t>
      </w:r>
      <w:r>
        <w:rPr>
          <w:rFonts w:eastAsia="Apple SD Gothic Neo Regular"/>
          <w:color w:val="121212"/>
        </w:rPr>
        <w:t>.</w:t>
      </w:r>
      <w:r>
        <w:rPr>
          <w:rFonts w:eastAsia="Apple SD Gothic Neo Regular"/>
          <w:color w:val="121212"/>
          <w:vertAlign w:val="superscript"/>
        </w:rPr>
        <w:footnoteReference w:id="34"/>
      </w:r>
      <w:r>
        <w:rPr>
          <w:rFonts w:eastAsia="Apple SD Gothic Neo Regular"/>
          <w:color w:val="121212"/>
        </w:rPr>
        <w:t xml:space="preserve"> </w:t>
      </w:r>
      <w:r>
        <w:rPr>
          <w:color w:val="121212"/>
        </w:rPr>
        <w:t>There has consequently been concern about the possible abuse of platform regulation as an instrument for silencing and curbing free speech. The Constitutional Court in Indonesia has made numerous decisions in connection with some elements of the ITE Law.</w:t>
      </w:r>
      <w:r>
        <w:rPr>
          <w:color w:val="121212"/>
        </w:rPr>
        <w:t xml:space="preserve"> </w:t>
      </w:r>
      <w:r>
        <w:rPr>
          <w:color w:val="121212"/>
        </w:rPr>
        <w:t>Indonesia’s platform governance framework has continued to yield relatively good outcomes in terms of platform accountability due to a number of interrelated factors. First, the huge size of the Indonesian digital market provides the government with consid</w:t>
      </w:r>
      <w:r>
        <w:rPr>
          <w:color w:val="121212"/>
        </w:rPr>
        <w:t>erable power that cannot be overlooked by platforms.</w:t>
      </w:r>
      <w:r>
        <w:rPr>
          <w:rFonts w:eastAsia="Apple SD Gothic Neo Regular"/>
          <w:color w:val="121212"/>
          <w:vertAlign w:val="superscript"/>
        </w:rPr>
        <w:footnoteReference w:id="35"/>
      </w:r>
      <w:r>
        <w:rPr>
          <w:color w:val="121212"/>
        </w:rPr>
        <w:t xml:space="preserve"> Credibility of enforcement efforts is provided by the government’s readiness to take action against non-compliant platforms through blocking their sites. </w:t>
      </w:r>
      <w:r>
        <w:rPr>
          <w:color w:val="121212"/>
        </w:rPr>
        <w:t xml:space="preserve"> </w:t>
      </w:r>
    </w:p>
    <w:p w14:paraId="79C91384" w14:textId="52C09765" w:rsidR="003775F4" w:rsidRDefault="00602015" w:rsidP="00702BAC">
      <w:pPr>
        <w:pStyle w:val="Heading1"/>
        <w:spacing w:line="240" w:lineRule="auto"/>
        <w:rPr>
          <w:color w:val="121212"/>
          <w:sz w:val="24"/>
          <w:szCs w:val="24"/>
        </w:rPr>
      </w:pPr>
      <w:r>
        <w:rPr>
          <w:color w:val="121212"/>
          <w:sz w:val="24"/>
          <w:szCs w:val="24"/>
        </w:rPr>
        <w:t>5</w:t>
      </w:r>
      <w:r w:rsidR="00702BAC">
        <w:rPr>
          <w:color w:val="121212"/>
          <w:sz w:val="24"/>
          <w:szCs w:val="24"/>
        </w:rPr>
        <w:t>.0</w:t>
      </w:r>
      <w:r>
        <w:rPr>
          <w:color w:val="121212"/>
          <w:sz w:val="24"/>
          <w:szCs w:val="24"/>
        </w:rPr>
        <w:t xml:space="preserve"> </w:t>
      </w:r>
      <w:r w:rsidR="00702BAC">
        <w:rPr>
          <w:color w:val="121212"/>
          <w:sz w:val="24"/>
          <w:szCs w:val="24"/>
        </w:rPr>
        <w:t>REGULATORY APPROACHES OF PLATFORM ACCOUNTABILITY AND CONTENT MODERATION IN NIGERIA</w:t>
      </w:r>
    </w:p>
    <w:p w14:paraId="12C4F7B5" w14:textId="77777777" w:rsidR="003775F4" w:rsidRDefault="00602015" w:rsidP="00702BAC">
      <w:pPr>
        <w:spacing w:line="240" w:lineRule="auto"/>
        <w:rPr>
          <w:color w:val="121212"/>
        </w:rPr>
      </w:pPr>
      <w:r>
        <w:rPr>
          <w:color w:val="121212"/>
        </w:rPr>
        <w:t>T</w:t>
      </w:r>
      <w:r>
        <w:rPr>
          <w:color w:val="121212"/>
        </w:rPr>
        <w:t>he regulatory approach towards platform accountability and content moderation taken in Nigeria is indicative of the complicated relationship between bold law-making efforts, fragmentation of institutions, interference by the executive, and inconsistency in enforcement. On the surface, Nigeria has one of the widest digital regulation legal frameworks on the continent, with various laws and regulators applying different jurisdictions over online platforms, digital intermediaries, telecommunications providers,</w:t>
      </w:r>
      <w:r>
        <w:rPr>
          <w:color w:val="121212"/>
        </w:rPr>
        <w:t xml:space="preserve"> and digital data. Despite the apparent completeness of this legal framework, however, the reality of Nigeria's approach to regulating online platforms and digital intermediaries has proved to be characterized by inconsistencies, overlaps between various institutions, and even some abuse of power by the executive branch. Therefore, the experience in Nigeria demonstrates the problems that occur as a result of lack of cohesive philosophy regarding digital regulation, including an appropriate balance between p</w:t>
      </w:r>
      <w:r>
        <w:rPr>
          <w:color w:val="121212"/>
        </w:rPr>
        <w:t>latform accountability and constitutional freedom of speech.</w:t>
      </w:r>
    </w:p>
    <w:p w14:paraId="2C197A3D" w14:textId="77777777" w:rsidR="003775F4" w:rsidRDefault="00602015" w:rsidP="00702BAC">
      <w:pPr>
        <w:spacing w:line="240" w:lineRule="auto"/>
        <w:rPr>
          <w:color w:val="121212"/>
        </w:rPr>
      </w:pPr>
      <w:r>
        <w:rPr>
          <w:color w:val="121212"/>
        </w:rPr>
        <w:lastRenderedPageBreak/>
        <w:t>As a point of origin of Nigerian law regulating digital matters, one may name the Nigerian Communications Act 2003, which established the Nigerian Communications Commission (NCC), which serves as the key regulator of the telecommunications market. Although the Act was primarily designed for telecommunications governance rather than platform regulation, the rapid growth of internet-based communication services has increasingly drawn the NCC into debates surrounding digital platform accountability</w:t>
      </w:r>
      <w:r>
        <w:rPr>
          <w:rFonts w:eastAsia="Apple SD Gothic Neo Regular"/>
          <w:color w:val="121212"/>
        </w:rPr>
        <w:t>.</w:t>
      </w:r>
      <w:r>
        <w:rPr>
          <w:rFonts w:eastAsia="Apple SD Gothic Neo Regular"/>
          <w:color w:val="121212"/>
          <w:vertAlign w:val="superscript"/>
        </w:rPr>
        <w:footnoteReference w:id="36"/>
      </w:r>
      <w:r>
        <w:rPr>
          <w:rFonts w:eastAsia="Apple SD Gothic Neo Regular"/>
          <w:color w:val="121212"/>
        </w:rPr>
        <w:t xml:space="preserve"> </w:t>
      </w:r>
      <w:r>
        <w:rPr>
          <w:color w:val="121212"/>
        </w:rPr>
        <w:t>Alongside the NCC, the National Information Technology Development Agency Act 2007 created the National Information Technology Development Agency (NITDA), which serves as Nigeria’s principal information technology policy and regulatory institution. NITDA has progressively expanded its role beyond technology promotion into broader digital governance and platform regulation.</w:t>
      </w:r>
    </w:p>
    <w:p w14:paraId="797AF27A" w14:textId="77777777" w:rsidR="003775F4" w:rsidRDefault="00602015" w:rsidP="00702BAC">
      <w:pPr>
        <w:spacing w:line="240" w:lineRule="auto"/>
        <w:rPr>
          <w:color w:val="121212"/>
        </w:rPr>
      </w:pPr>
      <w:r>
        <w:rPr>
          <w:color w:val="121212"/>
        </w:rPr>
        <w:t>Nigeria's cyber regulation regime got even stronger due to the introduction of the Cybercrimes (Prohibition, Prevention, Etc.) Act 2015 that made it a crime for anyone to commit any offenses relating to cybercrime such as identity theft, cyber stalking, online fraud, and computer system access without authorization. Among the provisions included in the Act that raised concerns among Nigerians was the inclusion of the Criminal Transmission of Messages, specifically section 24</w:t>
      </w:r>
      <w:r>
        <w:rPr>
          <w:rFonts w:eastAsia="Apple SD Gothic Neo Regular"/>
          <w:color w:val="121212"/>
        </w:rPr>
        <w:t>.</w:t>
      </w:r>
      <w:r>
        <w:rPr>
          <w:rFonts w:eastAsia="Apple SD Gothic Neo Regular"/>
          <w:color w:val="121212"/>
          <w:vertAlign w:val="superscript"/>
        </w:rPr>
        <w:footnoteReference w:id="37"/>
      </w:r>
      <w:r>
        <w:rPr>
          <w:rFonts w:eastAsia="Apple SD Gothic Neo Regular"/>
          <w:color w:val="121212"/>
        </w:rPr>
        <w:t xml:space="preserve"> </w:t>
      </w:r>
      <w:r>
        <w:rPr>
          <w:color w:val="121212"/>
        </w:rPr>
        <w:t>According to this section, it becomes illegal to send any messages that may be grossly offensive, false, obscene, or menacing. Though this section aimed at tackling online harassment and cyber abuse in the country, it was criticized by various groups in Nigeria and outside as an attempt by the Nigerian government to silence its critics and stifle any criticism leveled against government officials</w:t>
      </w:r>
      <w:r>
        <w:rPr>
          <w:rFonts w:eastAsia="Apple SD Gothic Neo Regular"/>
          <w:color w:val="121212"/>
        </w:rPr>
        <w:t>.</w:t>
      </w:r>
      <w:r>
        <w:rPr>
          <w:rFonts w:eastAsia="Apple SD Gothic Neo Regular"/>
          <w:color w:val="121212"/>
          <w:vertAlign w:val="superscript"/>
        </w:rPr>
        <w:footnoteReference w:id="38"/>
      </w:r>
      <w:r>
        <w:rPr>
          <w:rFonts w:eastAsia="Apple SD Gothic Neo Regular"/>
          <w:color w:val="121212"/>
        </w:rPr>
        <w:t xml:space="preserve"> </w:t>
      </w:r>
      <w:r>
        <w:rPr>
          <w:color w:val="121212"/>
        </w:rPr>
        <w:t>There were several instances when the section was applied against journalists and political activists.</w:t>
      </w:r>
    </w:p>
    <w:p w14:paraId="066E4257" w14:textId="77777777" w:rsidR="003775F4" w:rsidRDefault="00602015" w:rsidP="00702BAC">
      <w:pPr>
        <w:spacing w:line="240" w:lineRule="auto"/>
        <w:rPr>
          <w:color w:val="121212"/>
        </w:rPr>
      </w:pPr>
      <w:r>
        <w:rPr>
          <w:color w:val="121212"/>
        </w:rPr>
        <w:t>However, Nigeria has seen a considerable reform in its approach towards data governance with the passing of the Nigeria Data Protection Act 2023 that repealed the previous Nigeria Data Protection Regulation 2019. As the NDPA stipulates, it set up the Nigerian Data Protection Commission (NDPC) to act as the country's independent regulatory body to oversee the enforcement of data governance standards and the legitimate treatment of data and individuals' privacy</w:t>
      </w:r>
      <w:r>
        <w:rPr>
          <w:rFonts w:eastAsia="Apple SD Gothic Neo Regular"/>
          <w:color w:val="121212"/>
        </w:rPr>
        <w:t>.</w:t>
      </w:r>
      <w:r>
        <w:rPr>
          <w:rFonts w:eastAsia="Apple SD Gothic Neo Regular"/>
          <w:color w:val="121212"/>
          <w:vertAlign w:val="superscript"/>
        </w:rPr>
        <w:footnoteReference w:id="39"/>
      </w:r>
      <w:r>
        <w:rPr>
          <w:rFonts w:eastAsia="Apple SD Gothic Neo Regular"/>
          <w:color w:val="121212"/>
        </w:rPr>
        <w:t xml:space="preserve"> </w:t>
      </w:r>
      <w:r>
        <w:rPr>
          <w:color w:val="121212"/>
        </w:rPr>
        <w:t>Indeed, the NDPA should be viewed as an important stage in Nigeria's development as a platform accountable country as modern content moderation technologies rely heavily on algorithmic profiling, behavioral data analytics, and recommendation systems. Thus, through its efforts in establishing NDPC, Nigeria started tackling broader issues of data governance and user privacy in digital space.</w:t>
      </w:r>
      <w:r>
        <w:rPr>
          <w:rFonts w:eastAsia="Apple SD Gothic Neo Regular"/>
          <w:color w:val="121212"/>
          <w:vertAlign w:val="superscript"/>
        </w:rPr>
        <w:footnoteReference w:id="40"/>
      </w:r>
      <w:r>
        <w:rPr>
          <w:rFonts w:eastAsia="Apple SD Gothic Neo Regular"/>
          <w:color w:val="121212"/>
        </w:rPr>
        <w:t xml:space="preserve"> </w:t>
      </w:r>
      <w:r>
        <w:rPr>
          <w:color w:val="121212"/>
        </w:rPr>
        <w:t>Nonetheless, the overlapping competencies of various institutions including NITDA raise concerns regarding institutional jurisdiction.</w:t>
      </w:r>
    </w:p>
    <w:p w14:paraId="393EBAB3" w14:textId="77777777" w:rsidR="003775F4" w:rsidRDefault="00602015" w:rsidP="00702BAC">
      <w:pPr>
        <w:spacing w:line="240" w:lineRule="auto"/>
        <w:rPr>
          <w:color w:val="121212"/>
        </w:rPr>
      </w:pPr>
      <w:r>
        <w:rPr>
          <w:color w:val="121212"/>
        </w:rPr>
        <w:t xml:space="preserve">The first and most obvious effort at introducing a specialized platform regulation framework took place in form of the Code of Practice for Interactive Computer Services Platforms and Internet Intermediaries by NITDA, signed into law on 26 September 2022. This code targets interactive computer services providers as well as internet intermediaries and applies to platforms with more than one million users. It requires platforms to establish local representatives, comply with </w:t>
      </w:r>
      <w:r>
        <w:rPr>
          <w:color w:val="121212"/>
        </w:rPr>
        <w:lastRenderedPageBreak/>
        <w:t>Nigerian law, publish transparent content moderation policies, respond to takedown requests, and submit annual compliance reports</w:t>
      </w:r>
      <w:r>
        <w:rPr>
          <w:rFonts w:eastAsia="Apple SD Gothic Neo Regular"/>
          <w:color w:val="121212"/>
        </w:rPr>
        <w:t>.</w:t>
      </w:r>
      <w:r>
        <w:rPr>
          <w:rFonts w:eastAsia="Apple SD Gothic Neo Regular"/>
          <w:color w:val="121212"/>
          <w:vertAlign w:val="superscript"/>
        </w:rPr>
        <w:footnoteReference w:id="41"/>
      </w:r>
      <w:r>
        <w:rPr>
          <w:rFonts w:eastAsia="Apple SD Gothic Neo Regular"/>
          <w:color w:val="121212"/>
        </w:rPr>
        <w:t xml:space="preserve"> </w:t>
      </w:r>
      <w:r>
        <w:rPr>
          <w:color w:val="121212"/>
        </w:rPr>
        <w:t>The Code reflects Nigeria’s attempt to develop a co-regulatory governance model similar to emerging international trends in platform accountability. In theory, the framework seeks to improve transparency, enhance cooperation between platforms and regulators, and create clearer accountability obligations for digital intermediaries operating within the Nigerian market</w:t>
      </w:r>
      <w:r>
        <w:rPr>
          <w:rFonts w:eastAsia="Apple SD Gothic Neo Regular"/>
          <w:color w:val="121212"/>
        </w:rPr>
        <w:t>.</w:t>
      </w:r>
      <w:r>
        <w:rPr>
          <w:rFonts w:eastAsia="Apple SD Gothic Neo Regular"/>
          <w:color w:val="121212"/>
          <w:vertAlign w:val="superscript"/>
        </w:rPr>
        <w:footnoteReference w:id="42"/>
      </w:r>
      <w:r>
        <w:rPr>
          <w:rFonts w:eastAsia="Apple SD Gothic Neo Regular"/>
          <w:color w:val="121212"/>
        </w:rPr>
        <w:t xml:space="preserve"> </w:t>
      </w:r>
    </w:p>
    <w:p w14:paraId="651936FC" w14:textId="77777777" w:rsidR="003775F4" w:rsidRDefault="00602015" w:rsidP="00702BAC">
      <w:pPr>
        <w:spacing w:line="240" w:lineRule="auto"/>
        <w:rPr>
          <w:color w:val="121212"/>
        </w:rPr>
      </w:pPr>
      <w:r>
        <w:rPr>
          <w:color w:val="121212"/>
        </w:rPr>
        <w:t>Nevertheless, while the Nigerian statutory system seems thorough in regulating platforms, the functioning of platform regulation is greatly hampered by fragmentation in institutions responsible for the same. Platform regulation is divided among various institutions like the NCC, NITDA, the National Broadcasting Commission (NBC), the National Film and Video Censors Board (NFVCB), the Federal Competition and Consumer Protection Commission (FCCPC), and the Nigeria Data Protection Commission. These organization</w:t>
      </w:r>
      <w:r>
        <w:rPr>
          <w:color w:val="121212"/>
        </w:rPr>
        <w:t>s operate under different enabling legislations and bureaucratic cultures</w:t>
      </w:r>
      <w:r>
        <w:rPr>
          <w:rFonts w:eastAsia="Apple SD Gothic Neo Regular"/>
          <w:color w:val="121212"/>
        </w:rPr>
        <w:t>.</w:t>
      </w:r>
      <w:r>
        <w:rPr>
          <w:rFonts w:eastAsia="Apple SD Gothic Neo Regular"/>
          <w:color w:val="121212"/>
          <w:vertAlign w:val="superscript"/>
        </w:rPr>
        <w:footnoteReference w:id="43"/>
      </w:r>
      <w:r>
        <w:rPr>
          <w:rFonts w:eastAsia="Apple SD Gothic Neo Regular"/>
          <w:color w:val="121212"/>
        </w:rPr>
        <w:t xml:space="preserve"> </w:t>
      </w:r>
      <w:r>
        <w:rPr>
          <w:color w:val="121212"/>
        </w:rPr>
        <w:t xml:space="preserve">This has made it difficult, in most cases, to achieve harmonization, resulting in confusion over jurisdictions and conflicting directives. One instance where this issue has arisen is with the efforts of the NBC to regulate social media platforms by using broadcasting regulations since social media platforms are very different from conventional broadcast media in nature and operations. Another area where overlapping jurisdiction has caused problems is between the regulation of NITDA and the data governance </w:t>
      </w:r>
      <w:r>
        <w:rPr>
          <w:color w:val="121212"/>
        </w:rPr>
        <w:t>mandate of NDPC.</w:t>
      </w:r>
      <w:r>
        <w:rPr>
          <w:rFonts w:eastAsia="Apple SD Gothic Neo Regular"/>
          <w:color w:val="121212"/>
          <w:vertAlign w:val="superscript"/>
        </w:rPr>
        <w:footnoteReference w:id="44"/>
      </w:r>
      <w:r>
        <w:rPr>
          <w:rFonts w:eastAsia="Apple SD Gothic Neo Regular"/>
          <w:color w:val="121212"/>
        </w:rPr>
        <w:t xml:space="preserve"> </w:t>
      </w:r>
    </w:p>
    <w:p w14:paraId="2C1088E3" w14:textId="77777777" w:rsidR="003775F4" w:rsidRDefault="00602015" w:rsidP="00702BAC">
      <w:pPr>
        <w:spacing w:line="240" w:lineRule="auto"/>
        <w:rPr>
          <w:color w:val="121212"/>
        </w:rPr>
      </w:pPr>
      <w:r>
        <w:rPr>
          <w:color w:val="121212"/>
        </w:rPr>
        <w:t>The most widely recognized example of regulatory failure in Nigeria happened with the shutdown of Twitter, rebranded as X, on June 5th, 2021. The government of Nigeria initiated the suspension of Twitter in retaliation for the platform’s decision to delete a tweet published by Nigerian President Muhammadu Buhari since it breached Twitter’s policy of hateful conduct. The Nigerian administration declared an indefinite ban on the platform due to the content of the tweet, as it threatened violence towards separ</w:t>
      </w:r>
      <w:r>
        <w:rPr>
          <w:color w:val="121212"/>
        </w:rPr>
        <w:t>atists from the southeastern region of the country</w:t>
      </w:r>
      <w:r>
        <w:rPr>
          <w:rFonts w:eastAsia="Apple SD Gothic Neo Regular"/>
          <w:color w:val="121212"/>
        </w:rPr>
        <w:t>.</w:t>
      </w:r>
      <w:r>
        <w:rPr>
          <w:rFonts w:eastAsia="Apple SD Gothic Neo Regular"/>
          <w:color w:val="121212"/>
          <w:vertAlign w:val="superscript"/>
        </w:rPr>
        <w:footnoteReference w:id="45"/>
      </w:r>
      <w:r>
        <w:rPr>
          <w:rFonts w:eastAsia="Apple SD Gothic Neo Regular"/>
          <w:color w:val="121212"/>
        </w:rPr>
        <w:t xml:space="preserve"> </w:t>
      </w:r>
      <w:r>
        <w:rPr>
          <w:color w:val="121212"/>
        </w:rPr>
        <w:t>It took 222 days until the suspension was lifted on January 13th, 2022.</w:t>
      </w:r>
    </w:p>
    <w:p w14:paraId="42CD4237" w14:textId="77777777" w:rsidR="003775F4" w:rsidRDefault="00602015" w:rsidP="00702BAC">
      <w:pPr>
        <w:spacing w:line="240" w:lineRule="auto"/>
        <w:rPr>
          <w:color w:val="121212"/>
        </w:rPr>
      </w:pPr>
      <w:r>
        <w:rPr>
          <w:color w:val="121212"/>
        </w:rPr>
        <w:t xml:space="preserve">Thus, the government of Nigeria used the shutdown of Twitter to reveal major flaws in the governance system for social media platforms in the country. The decision of the Nigerian government to initiate a ban lacked statutory grounds, required no judicial involvement, nor any consultations with relevant parties. The economic consequences were substantial, with estimates suggesting losses amounting to hundreds of millions of dollars due to disrupted commercial </w:t>
      </w:r>
      <w:r>
        <w:rPr>
          <w:color w:val="121212"/>
        </w:rPr>
        <w:lastRenderedPageBreak/>
        <w:t>activity, digital marketing, and online communication</w:t>
      </w:r>
      <w:r>
        <w:rPr>
          <w:rFonts w:eastAsia="Apple SD Gothic Neo Regular"/>
          <w:color w:val="121212"/>
        </w:rPr>
        <w:t>.</w:t>
      </w:r>
      <w:r>
        <w:rPr>
          <w:rFonts w:eastAsia="Apple SD Gothic Neo Regular"/>
          <w:color w:val="121212"/>
          <w:vertAlign w:val="superscript"/>
        </w:rPr>
        <w:footnoteReference w:id="46"/>
      </w:r>
      <w:r>
        <w:rPr>
          <w:rFonts w:eastAsia="Apple SD Gothic Neo Regular"/>
          <w:color w:val="121212"/>
        </w:rPr>
        <w:t xml:space="preserve"> </w:t>
      </w:r>
      <w:r>
        <w:rPr>
          <w:color w:val="121212"/>
        </w:rPr>
        <w:t>More importantly, the ban generated widespread domestic and international criticism because it was perceived not as a legitimate accountability measure but as retaliation against a platform for enforcing its own content moderation standards against the Nigerian president.</w:t>
      </w:r>
    </w:p>
    <w:p w14:paraId="78EA5AF2" w14:textId="77777777" w:rsidR="003775F4" w:rsidRDefault="00602015" w:rsidP="00702BAC">
      <w:pPr>
        <w:spacing w:line="240" w:lineRule="auto"/>
        <w:rPr>
          <w:color w:val="121212"/>
        </w:rPr>
      </w:pPr>
      <w:r>
        <w:rPr>
          <w:color w:val="121212"/>
        </w:rPr>
        <w:t>The reactions to the Twitter ban revealed concerns about the abuse of regulatory powers by executives. Several empirical studies on the public discourse on the suspension of Twitter indicated that the majority of social media comments expressed that the Twitter ban was unconstitutional and not in line with democratic values</w:t>
      </w:r>
      <w:r>
        <w:rPr>
          <w:rFonts w:eastAsia="Apple SD Gothic Neo Regular"/>
          <w:color w:val="121212"/>
        </w:rPr>
        <w:t>.</w:t>
      </w:r>
      <w:r>
        <w:rPr>
          <w:rFonts w:eastAsia="Apple SD Gothic Neo Regular"/>
          <w:color w:val="121212"/>
          <w:vertAlign w:val="superscript"/>
        </w:rPr>
        <w:footnoteReference w:id="47"/>
      </w:r>
      <w:r>
        <w:rPr>
          <w:rFonts w:eastAsia="Apple SD Gothic Neo Regular"/>
          <w:color w:val="121212"/>
        </w:rPr>
        <w:t xml:space="preserve"> </w:t>
      </w:r>
      <w:r>
        <w:rPr>
          <w:color w:val="121212"/>
        </w:rPr>
        <w:t>NGOs, the media, and international human rights organizations claimed that the ban was illegal and contradicted the constitution’s provisions for free speech and access to information. It is also worth mentioning that the issue raised concerns regarding a lack of regulatory independence in Nigeria's institutional setting</w:t>
      </w:r>
      <w:r>
        <w:rPr>
          <w:rFonts w:eastAsia="Apple SD Gothic Neo Regular"/>
          <w:color w:val="121212"/>
        </w:rPr>
        <w:t>.</w:t>
      </w:r>
      <w:r>
        <w:rPr>
          <w:rFonts w:eastAsia="Apple SD Gothic Neo Regular"/>
          <w:color w:val="121212"/>
          <w:vertAlign w:val="superscript"/>
        </w:rPr>
        <w:footnoteReference w:id="48"/>
      </w:r>
      <w:r>
        <w:rPr>
          <w:rFonts w:eastAsia="Apple SD Gothic Neo Regular"/>
          <w:color w:val="121212"/>
        </w:rPr>
        <w:t xml:space="preserve"> </w:t>
      </w:r>
      <w:r>
        <w:rPr>
          <w:color w:val="121212"/>
        </w:rPr>
        <w:t>While some agencies, including the NCC and NITDA, may appear to have autonomy, they are, in fact, heavily influenced by the executive arm of government</w:t>
      </w:r>
      <w:r>
        <w:rPr>
          <w:rFonts w:eastAsia="Apple SD Gothic Neo Regular"/>
          <w:color w:val="121212"/>
        </w:rPr>
        <w:t>.</w:t>
      </w:r>
      <w:r>
        <w:rPr>
          <w:rFonts w:eastAsia="Apple SD Gothic Neo Regular"/>
          <w:color w:val="121212"/>
          <w:vertAlign w:val="superscript"/>
        </w:rPr>
        <w:footnoteReference w:id="49"/>
      </w:r>
      <w:r>
        <w:rPr>
          <w:rFonts w:eastAsia="Apple SD Gothic Neo Regular"/>
          <w:color w:val="121212"/>
        </w:rPr>
        <w:t xml:space="preserve"> </w:t>
      </w:r>
      <w:r>
        <w:rPr>
          <w:color w:val="121212"/>
        </w:rPr>
        <w:t>This case demonstrates the importance of political rather than legal considerations when regulating technology in Nigeria.</w:t>
      </w:r>
    </w:p>
    <w:p w14:paraId="5D45C73F" w14:textId="77777777" w:rsidR="003775F4" w:rsidRDefault="00602015" w:rsidP="00702BAC">
      <w:pPr>
        <w:spacing w:line="240" w:lineRule="auto"/>
        <w:rPr>
          <w:color w:val="121212"/>
        </w:rPr>
      </w:pPr>
      <w:r>
        <w:rPr>
          <w:color w:val="121212"/>
        </w:rPr>
        <w:t>In addition, an inability to enforce regulations is another significant deficiency in Nigeria's regulatory system. Many agencies responsible for implementing regulations do not always have sufficient competence and finances to interact with foreign corporations. In particular, NITDA, with its broadened scope, has traditionally been unable to conduct algorithmic audits due to funding problems. The NCC, while comparatively stronger in telecommunications regulation, lacks specialized expertise in areas such as</w:t>
      </w:r>
      <w:r>
        <w:rPr>
          <w:color w:val="121212"/>
        </w:rPr>
        <w:t xml:space="preserve"> content moderation governance, artificial intelligence oversight, and algorithmic transparency</w:t>
      </w:r>
      <w:r>
        <w:rPr>
          <w:rFonts w:eastAsia="Apple SD Gothic Neo Regular"/>
          <w:color w:val="121212"/>
        </w:rPr>
        <w:t>.</w:t>
      </w:r>
      <w:r>
        <w:rPr>
          <w:rFonts w:eastAsia="Apple SD Gothic Neo Regular"/>
          <w:color w:val="121212"/>
          <w:vertAlign w:val="superscript"/>
        </w:rPr>
        <w:footnoteReference w:id="50"/>
      </w:r>
      <w:r>
        <w:rPr>
          <w:rFonts w:eastAsia="Apple SD Gothic Neo Regular"/>
          <w:color w:val="121212"/>
        </w:rPr>
        <w:t xml:space="preserve"> </w:t>
      </w:r>
    </w:p>
    <w:p w14:paraId="72EA6E7C" w14:textId="77777777" w:rsidR="003775F4" w:rsidRDefault="00602015" w:rsidP="00702BAC">
      <w:pPr>
        <w:spacing w:line="240" w:lineRule="auto"/>
        <w:rPr>
          <w:color w:val="121212"/>
        </w:rPr>
      </w:pPr>
      <w:r>
        <w:rPr>
          <w:color w:val="121212"/>
        </w:rPr>
        <w:t xml:space="preserve">The problems faced by Nigeria’s regulators are exacerbated by the tendency towards legislative overreach. The regulatory schemes developed specifically for the broadcast and print press are regularly applied to the social media platform without necessary adjustments to its technological peculiarities. As has been mentioned above, this approach may be labeled “regulatory annexation” since the authorities seek to apply their power to regulate the internet in line with traditional norms of publisher liability </w:t>
      </w:r>
      <w:r>
        <w:rPr>
          <w:color w:val="121212"/>
        </w:rPr>
        <w:t>while disregarding the difference between online and offline communication environments</w:t>
      </w:r>
      <w:r>
        <w:rPr>
          <w:rFonts w:eastAsia="Apple SD Gothic Neo Regular"/>
          <w:color w:val="121212"/>
        </w:rPr>
        <w:t>.</w:t>
      </w:r>
      <w:r>
        <w:rPr>
          <w:rFonts w:eastAsia="Apple SD Gothic Neo Regular"/>
          <w:color w:val="121212"/>
          <w:vertAlign w:val="superscript"/>
        </w:rPr>
        <w:footnoteReference w:id="51"/>
      </w:r>
      <w:r>
        <w:rPr>
          <w:rFonts w:eastAsia="Apple SD Gothic Neo Regular"/>
          <w:color w:val="121212"/>
        </w:rPr>
        <w:t xml:space="preserve"> </w:t>
      </w:r>
      <w:r>
        <w:rPr>
          <w:color w:val="121212"/>
        </w:rPr>
        <w:t xml:space="preserve">In particular, critics of the NITDA Code of Practice claim that certain parts of the document create excessive obligations for platforms, such as obligatory takedowns and providing large amounts of data from their servers which undermine freedom of speech and protection of </w:t>
      </w:r>
      <w:r>
        <w:rPr>
          <w:color w:val="121212"/>
        </w:rPr>
        <w:lastRenderedPageBreak/>
        <w:t>privacy</w:t>
      </w:r>
      <w:r>
        <w:rPr>
          <w:rFonts w:eastAsia="Apple SD Gothic Neo Regular"/>
          <w:color w:val="121212"/>
        </w:rPr>
        <w:t>.</w:t>
      </w:r>
      <w:r>
        <w:rPr>
          <w:rFonts w:eastAsia="Apple SD Gothic Neo Regular"/>
          <w:color w:val="121212"/>
          <w:vertAlign w:val="superscript"/>
        </w:rPr>
        <w:footnoteReference w:id="52"/>
      </w:r>
      <w:r>
        <w:rPr>
          <w:rFonts w:eastAsia="Apple SD Gothic Neo Regular"/>
          <w:color w:val="121212"/>
        </w:rPr>
        <w:t xml:space="preserve"> </w:t>
      </w:r>
    </w:p>
    <w:p w14:paraId="68358241" w14:textId="77777777" w:rsidR="003775F4" w:rsidRDefault="00602015" w:rsidP="00702BAC">
      <w:pPr>
        <w:spacing w:line="240" w:lineRule="auto"/>
        <w:rPr>
          <w:color w:val="121212"/>
        </w:rPr>
      </w:pPr>
      <w:r>
        <w:rPr>
          <w:color w:val="121212"/>
        </w:rPr>
        <w:t>Nevertheless, the Nigerian system is being developed, and several encouraging signs can already be observed. The creation of the Nigeria Data Protection Commission, growing awareness of digital rights among the general public, and participation of civil society organizations in the discussion are just several examples of that process. Until these structural issues are addressed, Nigeria’s regulatory approach is likely to remain characterized by inconsistency, fragmented enforcement, and recurring tensions b</w:t>
      </w:r>
      <w:r>
        <w:rPr>
          <w:color w:val="121212"/>
        </w:rPr>
        <w:t>etween state authority and digital rights protections.</w:t>
      </w:r>
    </w:p>
    <w:p w14:paraId="08A4C20A" w14:textId="7B27154C" w:rsidR="003775F4" w:rsidRDefault="00602015" w:rsidP="00702BAC">
      <w:pPr>
        <w:pStyle w:val="Heading1"/>
        <w:spacing w:line="240" w:lineRule="auto"/>
        <w:rPr>
          <w:color w:val="121212"/>
          <w:sz w:val="24"/>
          <w:szCs w:val="24"/>
        </w:rPr>
      </w:pPr>
      <w:r>
        <w:rPr>
          <w:color w:val="121212"/>
          <w:sz w:val="24"/>
          <w:szCs w:val="24"/>
        </w:rPr>
        <w:t>6</w:t>
      </w:r>
      <w:r w:rsidR="00702BAC">
        <w:rPr>
          <w:color w:val="121212"/>
          <w:sz w:val="24"/>
          <w:szCs w:val="24"/>
        </w:rPr>
        <w:t>.0</w:t>
      </w:r>
      <w:r>
        <w:rPr>
          <w:color w:val="121212"/>
          <w:sz w:val="24"/>
          <w:szCs w:val="24"/>
        </w:rPr>
        <w:t xml:space="preserve"> </w:t>
      </w:r>
      <w:r w:rsidR="00702BAC">
        <w:rPr>
          <w:color w:val="121212"/>
          <w:sz w:val="24"/>
          <w:szCs w:val="24"/>
        </w:rPr>
        <w:t>COMPARATIVE ANALYSIS: WHY IT WORKS IN KENYA AND INDONESIA, AND WHY IT DOES NOT WORK IN NIGERIA</w:t>
      </w:r>
    </w:p>
    <w:p w14:paraId="11012CBF" w14:textId="77777777" w:rsidR="003775F4" w:rsidRDefault="00602015" w:rsidP="00702BAC">
      <w:pPr>
        <w:spacing w:after="240" w:line="240" w:lineRule="auto"/>
        <w:rPr>
          <w:color w:val="121212"/>
        </w:rPr>
      </w:pPr>
      <w:r>
        <w:rPr>
          <w:color w:val="121212"/>
        </w:rPr>
        <w:t xml:space="preserve">Comparing and contrasting digital platform accountability and digital content regulation in Kenya, Indonesia, and Nigeria shows that the efficiency of digital governance frameworks hinges not necessarily on whether there are legal provisions in place but rather on the credibility, consistency, and integrity of the regulatory framework within which the legal system operates. While all three countries have legal provisions for digital governance and regulation of online platforms and harmful digital content, </w:t>
      </w:r>
      <w:r>
        <w:rPr>
          <w:color w:val="121212"/>
        </w:rPr>
        <w:t>the results vary greatly. The relatively better outcomes in terms of accountability achieved by Kenya and Indonesia can be attributed to the fact that they both have established regulatory systems that are credible, coherent, involve stakeholders and have relatively organized processes</w:t>
      </w:r>
      <w:r>
        <w:rPr>
          <w:rFonts w:eastAsia="Apple SD Gothic Neo Regular"/>
          <w:color w:val="121212"/>
        </w:rPr>
        <w:t>.</w:t>
      </w:r>
      <w:r>
        <w:rPr>
          <w:rFonts w:eastAsia="Apple SD Gothic Neo Regular"/>
          <w:color w:val="121212"/>
          <w:vertAlign w:val="superscript"/>
        </w:rPr>
        <w:footnoteReference w:id="53"/>
      </w:r>
      <w:r>
        <w:rPr>
          <w:rFonts w:eastAsia="Apple SD Gothic Neo Regular"/>
          <w:color w:val="121212"/>
        </w:rPr>
        <w:t xml:space="preserve"> </w:t>
      </w:r>
      <w:r>
        <w:rPr>
          <w:color w:val="121212"/>
        </w:rPr>
        <w:t>On the other hand, Nigeria has been unable to achieve such results despite having the largest number of statutes and a robust digital economy in Africa. This situation can be attributed to various factors such as institutional fragmentation, lack of enforcement credibility, political interference, among others</w:t>
      </w:r>
      <w:r>
        <w:rPr>
          <w:rFonts w:eastAsia="Apple SD Gothic Neo Regular"/>
          <w:color w:val="121212"/>
        </w:rPr>
        <w:t>.</w:t>
      </w:r>
      <w:r>
        <w:rPr>
          <w:rFonts w:eastAsia="Apple SD Gothic Neo Regular"/>
          <w:color w:val="121212"/>
          <w:vertAlign w:val="superscript"/>
        </w:rPr>
        <w:footnoteReference w:id="54"/>
      </w:r>
      <w:r>
        <w:rPr>
          <w:rFonts w:eastAsia="Apple SD Gothic Neo Regular"/>
          <w:color w:val="121212"/>
        </w:rPr>
        <w:t xml:space="preserve"> </w:t>
      </w:r>
    </w:p>
    <w:p w14:paraId="2C61EF98" w14:textId="77777777" w:rsidR="003775F4" w:rsidRDefault="00602015" w:rsidP="00702BAC">
      <w:pPr>
        <w:spacing w:after="240" w:line="240" w:lineRule="auto"/>
        <w:rPr>
          <w:color w:val="121212"/>
        </w:rPr>
      </w:pPr>
      <w:r>
        <w:rPr>
          <w:color w:val="121212"/>
        </w:rPr>
        <w:t xml:space="preserve">One of the key determinants behind the divergent results of regulatory systems lies in enforcement credibility. Regulatory mechanisms do not work well unless those being regulated feel that any violations would definitely be detected and punished. The enforcement of Indonesian policy gained its credibility when in August 2022, the government decided to block popular digital services such as Steam, PayPal, Yahoo, and Epic Games because of their violation of the terms stipulated in Ministerial Regulation No. </w:t>
      </w:r>
      <w:r>
        <w:rPr>
          <w:color w:val="121212"/>
        </w:rPr>
        <w:t>5 of 2020 related to registration of the service. This clearly illustrated that the Indonesian government would not hesitate to impose severe commercial sanctions on multinational technology companies ignoring the regulations</w:t>
      </w:r>
      <w:r>
        <w:rPr>
          <w:rFonts w:eastAsia="Apple SD Gothic Neo Regular"/>
          <w:color w:val="121212"/>
        </w:rPr>
        <w:t>.</w:t>
      </w:r>
      <w:r>
        <w:rPr>
          <w:rFonts w:eastAsia="Apple SD Gothic Neo Regular"/>
          <w:color w:val="121212"/>
          <w:vertAlign w:val="superscript"/>
        </w:rPr>
        <w:footnoteReference w:id="55"/>
      </w:r>
      <w:r>
        <w:rPr>
          <w:rFonts w:eastAsia="Apple SD Gothic Neo Regular"/>
          <w:color w:val="121212"/>
        </w:rPr>
        <w:t xml:space="preserve"> </w:t>
      </w:r>
      <w:r>
        <w:rPr>
          <w:color w:val="121212"/>
        </w:rPr>
        <w:t xml:space="preserve">As a result, the blocking event completely shifted the balance of power for digital platforms as they were shown </w:t>
      </w:r>
      <w:r>
        <w:rPr>
          <w:color w:val="121212"/>
        </w:rPr>
        <w:lastRenderedPageBreak/>
        <w:t>that the violation of the regulation would lead to significant operational disruption in the market. Accordingly, such multinational companies as Meta, Google, TikTok, and X complied with the regulation and registered their products according to the law in Indonesia</w:t>
      </w:r>
      <w:r>
        <w:rPr>
          <w:rFonts w:eastAsia="Apple SD Gothic Neo Regular"/>
          <w:color w:val="121212"/>
        </w:rPr>
        <w:t>.</w:t>
      </w:r>
      <w:r>
        <w:rPr>
          <w:rFonts w:eastAsia="Apple SD Gothic Neo Regular"/>
          <w:color w:val="121212"/>
          <w:vertAlign w:val="superscript"/>
        </w:rPr>
        <w:footnoteReference w:id="56"/>
      </w:r>
      <w:r>
        <w:rPr>
          <w:rFonts w:eastAsia="Apple SD Gothic Neo Regular"/>
          <w:color w:val="121212"/>
        </w:rPr>
        <w:t xml:space="preserve"> </w:t>
      </w:r>
    </w:p>
    <w:p w14:paraId="4C7BA004" w14:textId="77777777" w:rsidR="003775F4" w:rsidRDefault="00602015" w:rsidP="00702BAC">
      <w:pPr>
        <w:spacing w:after="240" w:line="240" w:lineRule="auto"/>
        <w:rPr>
          <w:color w:val="121212"/>
        </w:rPr>
      </w:pPr>
      <w:r>
        <w:rPr>
          <w:color w:val="121212"/>
        </w:rPr>
        <w:t xml:space="preserve">However, Kenya gained enforcement credibility due to a quite different approach based on institutional consistency and constitutionalism. The Communications Authority of Kenya, the Office of the Data Protection Commissioner, and the Judiciary have made great efforts in developing a system where legal obligations are considered serious and where enforcement process is procedurally legitimate. Regulatory interventions concerning election-related disinformation, hate speech, and data governance have generally </w:t>
      </w:r>
      <w:r>
        <w:rPr>
          <w:color w:val="121212"/>
        </w:rPr>
        <w:t>occurred within structured legal frameworks rather than through arbitrary executive action. Judicial oversight has further strengthened credibility by ensuring that regulatory decisions remain subject to constitutional scrutiny</w:t>
      </w:r>
      <w:r>
        <w:rPr>
          <w:rFonts w:eastAsia="Apple SD Gothic Neo Regular"/>
          <w:color w:val="121212"/>
        </w:rPr>
        <w:t>.</w:t>
      </w:r>
      <w:r>
        <w:rPr>
          <w:rFonts w:eastAsia="Apple SD Gothic Neo Regular"/>
          <w:color w:val="121212"/>
          <w:vertAlign w:val="superscript"/>
        </w:rPr>
        <w:footnoteReference w:id="57"/>
      </w:r>
      <w:r>
        <w:rPr>
          <w:rFonts w:eastAsia="Apple SD Gothic Neo Regular"/>
          <w:color w:val="121212"/>
        </w:rPr>
        <w:t xml:space="preserve"> </w:t>
      </w:r>
      <w:r>
        <w:rPr>
          <w:color w:val="121212"/>
        </w:rPr>
        <w:t>This institutional balance has enabled Kenya to cultivate a cooperative relationship with digital platforms while maintaining the capacity to enforce compliance when necessary.</w:t>
      </w:r>
    </w:p>
    <w:p w14:paraId="2CD03E76" w14:textId="77777777" w:rsidR="003775F4" w:rsidRDefault="00602015" w:rsidP="00702BAC">
      <w:pPr>
        <w:spacing w:after="240" w:line="240" w:lineRule="auto"/>
        <w:rPr>
          <w:color w:val="121212"/>
        </w:rPr>
      </w:pPr>
      <w:r>
        <w:rPr>
          <w:color w:val="121212"/>
        </w:rPr>
        <w:t>In the case of Nigeria, however, there is a contradictory case where the most significant attempt at regulation ended up diminishing regulatory credibility rather than enhancing it. The temporary suspension of Twitter in 2021 was meant to send a message about government power over digital platforms in the wake of the decision to remove a tweet by President Muhammadu Buhari because it contravened Twitter’s hate conduct policies. Instead of establishing regulatory credibility through such an event, the tempor</w:t>
      </w:r>
      <w:r>
        <w:rPr>
          <w:color w:val="121212"/>
        </w:rPr>
        <w:t>ary 222-day ban served to highlight the lack of consistency, institutional independence, and strategic regulatory thinking that were all lacking in the event</w:t>
      </w:r>
      <w:r>
        <w:rPr>
          <w:rFonts w:eastAsia="Apple SD Gothic Neo Regular"/>
          <w:color w:val="121212"/>
        </w:rPr>
        <w:t>.</w:t>
      </w:r>
      <w:r>
        <w:rPr>
          <w:rFonts w:eastAsia="Apple SD Gothic Neo Regular"/>
          <w:color w:val="121212"/>
          <w:vertAlign w:val="superscript"/>
        </w:rPr>
        <w:footnoteReference w:id="58"/>
      </w:r>
      <w:r>
        <w:rPr>
          <w:rFonts w:eastAsia="Apple SD Gothic Neo Regular"/>
          <w:color w:val="121212"/>
        </w:rPr>
        <w:t xml:space="preserve"> </w:t>
      </w:r>
      <w:r>
        <w:rPr>
          <w:color w:val="121212"/>
        </w:rPr>
        <w:t>Without clear statutory justification and process in terms of regulatory action, it was a mere executive decision on how to react to a situation. While Twitter was effectively banned throughout the nation, there were no regulatory gains in terms of accountability from the incident. Indeed, the ban came to an end following talks that could have been handled normally through regulatory mechanisms without a nationwide suspension of the platform’s services</w:t>
      </w:r>
      <w:r>
        <w:rPr>
          <w:rFonts w:eastAsia="Apple SD Gothic Neo Regular"/>
          <w:color w:val="121212"/>
        </w:rPr>
        <w:t>.</w:t>
      </w:r>
      <w:r>
        <w:rPr>
          <w:rFonts w:eastAsia="Apple SD Gothic Neo Regular"/>
          <w:color w:val="121212"/>
          <w:vertAlign w:val="superscript"/>
        </w:rPr>
        <w:footnoteReference w:id="59"/>
      </w:r>
      <w:r>
        <w:rPr>
          <w:rFonts w:eastAsia="Apple SD Gothic Neo Regular"/>
          <w:color w:val="121212"/>
        </w:rPr>
        <w:t xml:space="preserve"> </w:t>
      </w:r>
    </w:p>
    <w:p w14:paraId="691C9F94" w14:textId="77777777" w:rsidR="003775F4" w:rsidRDefault="00602015" w:rsidP="00702BAC">
      <w:pPr>
        <w:spacing w:after="240" w:line="240" w:lineRule="auto"/>
        <w:rPr>
          <w:color w:val="121212"/>
        </w:rPr>
      </w:pPr>
      <w:r>
        <w:rPr>
          <w:color w:val="121212"/>
        </w:rPr>
        <w:t xml:space="preserve">The underperformance of Nigeria can be partly attributed to lack of a coherent infrastructure for compliance. Unlike Indonesia, Nigeria does not have working registration processes for the platforms, enforceable regulations for local representatives, and an effective framework linking market access with regulation. In addition, the approach to regulation in Nigeria has been largely inconsistent and politically motivated rather than systematic. The shutdown of Twitter in Nigeria in 2021, for example, showed </w:t>
      </w:r>
      <w:r>
        <w:rPr>
          <w:color w:val="121212"/>
        </w:rPr>
        <w:t xml:space="preserve">executive interference and political motivation, leading to a negative impact on the credibility of the regulator. Multi-stakeholder governance is another important factor for determining success. The multi-stakeholder process has allowed both Indonesia and Kenya to involve civil society actors, academic scholars, and other industry players in their digital governance strategies. In Kenya, institutions such as </w:t>
      </w:r>
      <w:proofErr w:type="spellStart"/>
      <w:r>
        <w:rPr>
          <w:color w:val="121212"/>
        </w:rPr>
        <w:t>KICTANet</w:t>
      </w:r>
      <w:proofErr w:type="spellEnd"/>
      <w:r>
        <w:rPr>
          <w:color w:val="121212"/>
        </w:rPr>
        <w:t xml:space="preserve">, Article 19, and Code for Africa </w:t>
      </w:r>
      <w:r>
        <w:rPr>
          <w:color w:val="121212"/>
        </w:rPr>
        <w:lastRenderedPageBreak/>
        <w:t>participate actively in discussions regarding disinforma</w:t>
      </w:r>
      <w:r>
        <w:rPr>
          <w:color w:val="121212"/>
        </w:rPr>
        <w:t>tion, hate speech, and platform responsibility, resulting in better quality and legitimacy of policies</w:t>
      </w:r>
      <w:r>
        <w:rPr>
          <w:rFonts w:eastAsia="Apple SD Gothic Neo Regular"/>
          <w:color w:val="121212"/>
        </w:rPr>
        <w:t>.</w:t>
      </w:r>
      <w:r>
        <w:rPr>
          <w:rFonts w:eastAsia="Apple SD Gothic Neo Regular"/>
          <w:color w:val="121212"/>
          <w:vertAlign w:val="superscript"/>
        </w:rPr>
        <w:footnoteReference w:id="60"/>
      </w:r>
      <w:r>
        <w:rPr>
          <w:rFonts w:eastAsia="Apple SD Gothic Neo Regular"/>
          <w:color w:val="121212"/>
        </w:rPr>
        <w:t xml:space="preserve"> </w:t>
      </w:r>
    </w:p>
    <w:p w14:paraId="2C2D7A4B" w14:textId="77777777" w:rsidR="003775F4" w:rsidRDefault="00602015" w:rsidP="00702BAC">
      <w:pPr>
        <w:spacing w:after="240" w:line="240" w:lineRule="auto"/>
        <w:rPr>
          <w:color w:val="121212"/>
        </w:rPr>
      </w:pPr>
      <w:r>
        <w:rPr>
          <w:color w:val="121212"/>
        </w:rPr>
        <w:t>In Nigeria, while there are consultations, especially in the creation of tools like the NITDA Code of Practice, civil society stakeholders feel that their contributions are not well-reflected in the actual regulatory process. Such an approach tends to lower trust in the system of regulations, which makes it difficult to achieve voluntary compliance. As a result, the platform governance regime in Nigeria still faces conflicts involving regulators, civil society organizations, and digital rights activists</w:t>
      </w:r>
      <w:r>
        <w:rPr>
          <w:rFonts w:eastAsia="Apple SD Gothic Neo Regular"/>
          <w:color w:val="121212"/>
        </w:rPr>
        <w:t>.</w:t>
      </w:r>
      <w:r>
        <w:rPr>
          <w:rFonts w:eastAsia="Apple SD Gothic Neo Regular"/>
          <w:color w:val="121212"/>
          <w:vertAlign w:val="superscript"/>
        </w:rPr>
        <w:footnoteReference w:id="61"/>
      </w:r>
      <w:r>
        <w:rPr>
          <w:rFonts w:eastAsia="Apple SD Gothic Neo Regular"/>
          <w:color w:val="121212"/>
        </w:rPr>
        <w:t xml:space="preserve"> </w:t>
      </w:r>
      <w:r>
        <w:rPr>
          <w:color w:val="121212"/>
        </w:rPr>
        <w:t>The core problem here is related to the issues of rule of law and institutional integrity. Any effective platform regulation presupposes predictability of the legal process, independence of regulators, transparency of decision-making, and enforcement. Despite problems that exist in the field of platform governance in other countries, such as Kenya and Indonesia, these countries seem to be better off in terms of procedural predictability and organizational integrity</w:t>
      </w:r>
      <w:r>
        <w:rPr>
          <w:rFonts w:eastAsia="Apple SD Gothic Neo Regular"/>
          <w:color w:val="121212"/>
        </w:rPr>
        <w:t>.</w:t>
      </w:r>
      <w:r>
        <w:rPr>
          <w:rFonts w:eastAsia="Apple SD Gothic Neo Regular"/>
          <w:color w:val="121212"/>
          <w:vertAlign w:val="superscript"/>
        </w:rPr>
        <w:footnoteReference w:id="62"/>
      </w:r>
      <w:r>
        <w:rPr>
          <w:rFonts w:eastAsia="Apple SD Gothic Neo Regular"/>
          <w:color w:val="121212"/>
        </w:rPr>
        <w:t xml:space="preserve"> </w:t>
      </w:r>
      <w:r>
        <w:rPr>
          <w:color w:val="121212"/>
        </w:rPr>
        <w:t>Nigeria struggles to develop a system that is free from corruption, political influence, and regulatory capture. Although regulators are supposed to be independent entities, their work is often dictated by the executive, forcing the platforms to resort to political negotiations.</w:t>
      </w:r>
    </w:p>
    <w:p w14:paraId="6CE2793E" w14:textId="77777777" w:rsidR="003775F4" w:rsidRDefault="00602015" w:rsidP="00702BAC">
      <w:pPr>
        <w:spacing w:line="240" w:lineRule="auto"/>
        <w:rPr>
          <w:color w:val="121212"/>
        </w:rPr>
      </w:pPr>
      <w:r>
        <w:rPr>
          <w:color w:val="121212"/>
        </w:rPr>
        <w:t>This leads to the creation of a vicious cycle. A weak institutional independence fosters the adoption of informal means of governance, which discourage platforms from developing compliance processes. Weak compliance engagement leads to a weak regulatory capability and expertise, making informal negotiation mechanisms even more common. The only way to address this cycle is through the implementation of further reforms that go beyond legislation, involving the increase of institutional independence, professio</w:t>
      </w:r>
      <w:r>
        <w:rPr>
          <w:color w:val="121212"/>
        </w:rPr>
        <w:t xml:space="preserve">nalism of administration, and the principle of constitutional governance. </w:t>
      </w:r>
    </w:p>
    <w:p w14:paraId="4A418B2A" w14:textId="3E75F683" w:rsidR="003775F4" w:rsidRDefault="00602015" w:rsidP="00702BAC">
      <w:pPr>
        <w:pStyle w:val="Heading1"/>
        <w:spacing w:line="240" w:lineRule="auto"/>
        <w:rPr>
          <w:color w:val="121212"/>
          <w:sz w:val="24"/>
          <w:szCs w:val="24"/>
        </w:rPr>
      </w:pPr>
      <w:r>
        <w:rPr>
          <w:color w:val="121212"/>
          <w:sz w:val="24"/>
          <w:szCs w:val="24"/>
        </w:rPr>
        <w:t>7</w:t>
      </w:r>
      <w:r w:rsidR="00702BAC">
        <w:rPr>
          <w:color w:val="121212"/>
          <w:sz w:val="24"/>
          <w:szCs w:val="24"/>
        </w:rPr>
        <w:t>.0 CONCLUSION</w:t>
      </w:r>
    </w:p>
    <w:p w14:paraId="226B5924" w14:textId="77777777" w:rsidR="003775F4" w:rsidRDefault="00602015" w:rsidP="00702BAC">
      <w:pPr>
        <w:spacing w:line="240" w:lineRule="auto"/>
        <w:rPr>
          <w:color w:val="121212"/>
        </w:rPr>
      </w:pPr>
      <w:r>
        <w:rPr>
          <w:color w:val="121212"/>
        </w:rPr>
        <w:t>The comparison of the three nations indicates that for a platform accountability and regulation regime to be efficient, there must be not only laws but also the right institutional setting for these laws. While the Nigerian legal framework is quite comprehensive and well-developed, its regulatory success is undermined by institutional fragmentation, executive control, inconsistencies, and lack of credibility. In the case of Kenya and Indonesia, the regulatory achievements are stronger since their regimes in</w:t>
      </w:r>
      <w:r>
        <w:rPr>
          <w:color w:val="121212"/>
        </w:rPr>
        <w:t xml:space="preserve">volve effective legal backing as well as coordination and credibility. The conclusion that can be drawn from the above discussion is that </w:t>
      </w:r>
      <w:r>
        <w:rPr>
          <w:color w:val="121212"/>
        </w:rPr>
        <w:lastRenderedPageBreak/>
        <w:t>enforcement credibility forms the basis of effective digital governance</w:t>
      </w:r>
      <w:r>
        <w:rPr>
          <w:rFonts w:eastAsia="Apple SD Gothic Neo Regular"/>
          <w:color w:val="121212"/>
        </w:rPr>
        <w:t>.</w:t>
      </w:r>
      <w:r>
        <w:rPr>
          <w:rFonts w:eastAsia="Apple SD Gothic Neo Regular"/>
          <w:color w:val="121212"/>
          <w:vertAlign w:val="superscript"/>
        </w:rPr>
        <w:footnoteReference w:id="63"/>
      </w:r>
      <w:r>
        <w:rPr>
          <w:rFonts w:eastAsia="Apple SD Gothic Neo Regular"/>
          <w:color w:val="121212"/>
        </w:rPr>
        <w:t xml:space="preserve"> </w:t>
      </w:r>
      <w:r>
        <w:rPr>
          <w:color w:val="121212"/>
        </w:rPr>
        <w:t>The Indonesian readiness to ban non-compliant digital platforms and Kenya's use of judicial and regulatory processes create a consistent system of accountability that encourages platforms to work with the government. The case of Nigeria's Twitter ban is rather counterproductive as it was driven by political motives and showed lack of consistency. Nevertheless, the paper proves that platform regulation can be successfully implemented even in developing countries facing other problems. Yet, it needs to be do</w:t>
      </w:r>
      <w:r>
        <w:rPr>
          <w:color w:val="121212"/>
        </w:rPr>
        <w:t>ne within an institutional context characterized by independence, rule of law, proper capacity, and stakeholder involvement</w:t>
      </w:r>
      <w:r>
        <w:rPr>
          <w:rFonts w:eastAsia="Apple SD Gothic Neo Regular"/>
          <w:color w:val="121212"/>
        </w:rPr>
        <w:t>.</w:t>
      </w:r>
      <w:r>
        <w:rPr>
          <w:rFonts w:eastAsia="Apple SD Gothic Neo Regular"/>
          <w:color w:val="121212"/>
          <w:vertAlign w:val="superscript"/>
        </w:rPr>
        <w:footnoteReference w:id="64"/>
      </w:r>
      <w:r>
        <w:rPr>
          <w:rFonts w:eastAsia="Apple SD Gothic Neo Regular"/>
          <w:color w:val="121212"/>
        </w:rPr>
        <w:t xml:space="preserve"> </w:t>
      </w:r>
      <w:r>
        <w:rPr>
          <w:color w:val="121212"/>
        </w:rPr>
        <w:t>For Nigeria, meaningful reform will depend on reducing political interference and building a transparent, accountable, and rights-respecting digital governance framework capable of balancing state authority with constitutional freedoms.</w:t>
      </w:r>
    </w:p>
    <w:p w14:paraId="0D9B43F0" w14:textId="77777777" w:rsidR="003775F4" w:rsidRDefault="00602015" w:rsidP="00702BAC">
      <w:pPr>
        <w:pStyle w:val="Heading1"/>
        <w:spacing w:line="240" w:lineRule="auto"/>
        <w:rPr>
          <w:color w:val="121212"/>
          <w:sz w:val="24"/>
          <w:szCs w:val="24"/>
        </w:rPr>
      </w:pPr>
      <w:r>
        <w:rPr>
          <w:color w:val="121212"/>
          <w:sz w:val="24"/>
          <w:szCs w:val="24"/>
        </w:rPr>
        <w:t>1.</w:t>
      </w:r>
      <w:r>
        <w:rPr>
          <w:color w:val="121212"/>
          <w:sz w:val="24"/>
          <w:szCs w:val="24"/>
        </w:rPr>
        <w:t xml:space="preserve">8 </w:t>
      </w:r>
      <w:r>
        <w:rPr>
          <w:color w:val="121212"/>
          <w:sz w:val="24"/>
          <w:szCs w:val="24"/>
        </w:rPr>
        <w:t>Recommendations</w:t>
      </w:r>
    </w:p>
    <w:p w14:paraId="0E18D6D2" w14:textId="77777777" w:rsidR="003775F4" w:rsidRDefault="00602015" w:rsidP="00702BAC">
      <w:pPr>
        <w:spacing w:line="240" w:lineRule="auto"/>
        <w:rPr>
          <w:color w:val="121212"/>
        </w:rPr>
      </w:pPr>
      <w:r>
        <w:rPr>
          <w:color w:val="121212"/>
        </w:rPr>
        <w:t>A Statutory Digital Regulation Coordination Council (DRCC) must be established immediately to address the ongoing problem of institutional fragmentation associated with the regulation of online platforms in Nigeria. In addition to coordination by the DRCC, enforcement by the NCC, NITDA, NDPC, NBC, and FCCPC can be facilitated via inclusion of civil society and academic stakeholders as members. The DRCC will help overcome the issue of jurisdictional disputes by facilitating dispute resolution, thus eliminati</w:t>
      </w:r>
      <w:r>
        <w:rPr>
          <w:color w:val="121212"/>
        </w:rPr>
        <w:t>ng the ability of regulated platforms to take advantage of institutional contradictions.</w:t>
      </w:r>
    </w:p>
    <w:p w14:paraId="3BEA3189" w14:textId="77777777" w:rsidR="003775F4" w:rsidRDefault="00602015" w:rsidP="00702BAC">
      <w:pPr>
        <w:spacing w:line="240" w:lineRule="auto"/>
        <w:rPr>
          <w:color w:val="121212"/>
        </w:rPr>
      </w:pPr>
      <w:r>
        <w:rPr>
          <w:color w:val="121212"/>
        </w:rPr>
        <w:t>Second, the establishment of a Market Access Registration Regime similar to Indonesia’s MR 5/2020 is necessary. The regime requires regulated platforms to undertake market registration, designate an accountable representative within the jurisdiction, follow a structured process of takedown of content, and provide transparency reports, with sanctions of access restrictions being imposed in cases of non-compliance. Enforcement needs to follow from rules, not executive fiat, so that the problem of legitimacy e</w:t>
      </w:r>
      <w:r>
        <w:rPr>
          <w:color w:val="121212"/>
        </w:rPr>
        <w:t>xperienced in the case of Twitter's ban is avoided.</w:t>
      </w:r>
      <w:r>
        <w:rPr>
          <w:color w:val="121212"/>
        </w:rPr>
        <w:t xml:space="preserve"> </w:t>
      </w:r>
      <w:r>
        <w:rPr>
          <w:color w:val="121212"/>
        </w:rPr>
        <w:t>Finally, there should be: third, a Digital Regulation Capacity Fund; fourth, an independent Digital Content Advisory Council; and fifth, strengthening of judicial capacity.</w:t>
      </w:r>
    </w:p>
    <w:sectPr w:rsidR="003775F4" w:rsidSect="00702BAC">
      <w:headerReference w:type="default" r:id="rId7"/>
      <w:footerReference w:type="default" r:id="rId8"/>
      <w:pgSz w:w="12240" w:h="15840"/>
      <w:pgMar w:top="1440" w:right="1440" w:bottom="1440" w:left="1440" w:header="708" w:footer="708" w:gutter="0"/>
      <w:pgNumType w:start="13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9D513" w14:textId="77777777" w:rsidR="00602015" w:rsidRDefault="00602015">
      <w:pPr>
        <w:spacing w:after="0" w:line="240" w:lineRule="auto"/>
      </w:pPr>
      <w:r>
        <w:separator/>
      </w:r>
    </w:p>
  </w:endnote>
  <w:endnote w:type="continuationSeparator" w:id="0">
    <w:p w14:paraId="23777EC4" w14:textId="77777777" w:rsidR="00602015" w:rsidRDefault="006020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ple SD Gothic Neo Regular">
    <w:charset w:val="86"/>
    <w:family w:val="auto"/>
    <w:pitch w:val="default"/>
  </w:font>
  <w:font w:name="Noto Sans">
    <w:charset w:val="00"/>
    <w:family w:val="auto"/>
    <w:pitch w:val="default"/>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7297719"/>
      <w:docPartObj>
        <w:docPartGallery w:val="Page Numbers (Bottom of Page)"/>
        <w:docPartUnique/>
      </w:docPartObj>
    </w:sdtPr>
    <w:sdtEndPr>
      <w:rPr>
        <w:noProof/>
      </w:rPr>
    </w:sdtEndPr>
    <w:sdtContent>
      <w:p w14:paraId="655E1951" w14:textId="625406BD" w:rsidR="00702BAC" w:rsidRDefault="00702BA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CD3068" w14:textId="77777777" w:rsidR="00702BAC" w:rsidRDefault="00702B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73716" w14:textId="77777777" w:rsidR="00602015" w:rsidRDefault="00602015">
      <w:pPr>
        <w:spacing w:after="0" w:line="240" w:lineRule="auto"/>
      </w:pPr>
      <w:r>
        <w:separator/>
      </w:r>
    </w:p>
  </w:footnote>
  <w:footnote w:type="continuationSeparator" w:id="0">
    <w:p w14:paraId="11A51DD0" w14:textId="77777777" w:rsidR="00602015" w:rsidRDefault="00602015">
      <w:pPr>
        <w:spacing w:after="0" w:line="240" w:lineRule="auto"/>
      </w:pPr>
      <w:r>
        <w:continuationSeparator/>
      </w:r>
    </w:p>
  </w:footnote>
  <w:footnote w:id="1">
    <w:p w14:paraId="0624F0AA" w14:textId="65F9F2FE" w:rsidR="00702BAC" w:rsidRDefault="00702BAC">
      <w:pPr>
        <w:pStyle w:val="footnotedescription"/>
        <w:snapToGrid w:val="0"/>
        <w:spacing w:line="240" w:lineRule="auto"/>
        <w:ind w:left="0" w:right="15"/>
        <w:jc w:val="both"/>
        <w:rPr>
          <w:rStyle w:val="footnotemark"/>
          <w:color w:val="121212"/>
          <w:szCs w:val="20"/>
        </w:rPr>
      </w:pPr>
      <w:r>
        <w:rPr>
          <w:b/>
          <w:bCs/>
        </w:rPr>
        <w:t>*</w:t>
      </w:r>
      <w:r w:rsidRPr="00702BAC">
        <w:rPr>
          <w:rFonts w:hint="eastAsia"/>
        </w:rPr>
        <w:t>Faculty of law, Lead City University</w:t>
      </w:r>
      <w:r w:rsidRPr="00702BAC">
        <w:t xml:space="preserve">, </w:t>
      </w:r>
      <w:r w:rsidRPr="00702BAC">
        <w:rPr>
          <w:rFonts w:hint="eastAsia"/>
        </w:rPr>
        <w:t>Ibadan, Oyo State, Nigeria</w:t>
      </w:r>
      <w:r w:rsidRPr="00702BAC">
        <w:t xml:space="preserve"> | </w:t>
      </w:r>
      <w:hyperlink r:id="rId1" w:history="1">
        <w:r w:rsidRPr="0030492B">
          <w:rPr>
            <w:rStyle w:val="Hyperlink"/>
            <w:rFonts w:hint="eastAsia"/>
          </w:rPr>
          <w:t>fatoki.yewande@lcu.edu.ng</w:t>
        </w:r>
      </w:hyperlink>
    </w:p>
    <w:p w14:paraId="3909E0EA" w14:textId="2B91BBD7" w:rsidR="00702BAC" w:rsidRPr="00702BAC" w:rsidRDefault="00702BAC">
      <w:pPr>
        <w:pStyle w:val="footnotedescription"/>
        <w:snapToGrid w:val="0"/>
        <w:spacing w:line="240" w:lineRule="auto"/>
        <w:ind w:left="0" w:right="15"/>
        <w:jc w:val="both"/>
      </w:pPr>
      <w:r>
        <w:rPr>
          <w:b/>
          <w:bCs/>
        </w:rPr>
        <w:t>**</w:t>
      </w:r>
      <w:r w:rsidRPr="00702BAC">
        <w:rPr>
          <w:rFonts w:hint="eastAsia"/>
        </w:rPr>
        <w:t>Faculty of law, Lead City University</w:t>
      </w:r>
      <w:r w:rsidRPr="00702BAC">
        <w:t xml:space="preserve">, </w:t>
      </w:r>
      <w:r w:rsidRPr="00702BAC">
        <w:rPr>
          <w:rFonts w:hint="eastAsia"/>
        </w:rPr>
        <w:t>Ibadan, Oyo State, Nigeria</w:t>
      </w:r>
      <w:r w:rsidRPr="00702BAC">
        <w:t xml:space="preserve"> | </w:t>
      </w:r>
      <w:r w:rsidRPr="00702BAC">
        <w:rPr>
          <w:rFonts w:hint="eastAsia"/>
        </w:rPr>
        <w:t>abiolu22@gmail.com</w:t>
      </w:r>
      <w:r w:rsidRPr="00702BAC">
        <w:t xml:space="preserve"> | </w:t>
      </w:r>
      <w:r w:rsidRPr="00702BAC">
        <w:rPr>
          <w:rFonts w:hint="eastAsia"/>
        </w:rPr>
        <w:t>Lead</w:t>
      </w:r>
      <w:r>
        <w:t xml:space="preserve"> </w:t>
      </w:r>
      <w:r w:rsidRPr="00702BAC">
        <w:rPr>
          <w:rFonts w:hint="eastAsia"/>
        </w:rPr>
        <w:t>City University</w:t>
      </w:r>
      <w:r w:rsidRPr="00702BAC">
        <w:t xml:space="preserve"> | </w:t>
      </w:r>
      <w:r w:rsidRPr="00702BAC">
        <w:rPr>
          <w:rFonts w:hint="eastAsia"/>
        </w:rPr>
        <w:t>08165280750</w:t>
      </w:r>
    </w:p>
    <w:p w14:paraId="6604ED38" w14:textId="577B877E" w:rsidR="003775F4" w:rsidRDefault="00702BAC">
      <w:pPr>
        <w:pStyle w:val="footnotedescription"/>
        <w:snapToGrid w:val="0"/>
        <w:spacing w:line="240" w:lineRule="auto"/>
        <w:ind w:left="0" w:right="15"/>
        <w:jc w:val="both"/>
        <w:rPr>
          <w:color w:val="121212"/>
          <w:szCs w:val="20"/>
        </w:rPr>
      </w:pPr>
      <w:r w:rsidRPr="00702BAC">
        <w:rPr>
          <w:rStyle w:val="footnotemark"/>
          <w:color w:val="121212"/>
          <w:szCs w:val="20"/>
        </w:rPr>
        <w:t xml:space="preserve"> </w:t>
      </w:r>
      <w:r w:rsidR="00602015" w:rsidRPr="00702BAC">
        <w:rPr>
          <w:rStyle w:val="footnotemark"/>
          <w:color w:val="121212"/>
          <w:szCs w:val="20"/>
        </w:rPr>
        <w:footnoteRef/>
      </w:r>
      <w:r w:rsidR="00602015">
        <w:rPr>
          <w:rStyle w:val="footnotemark"/>
          <w:color w:val="121212"/>
          <w:szCs w:val="20"/>
        </w:rPr>
        <w:t xml:space="preserve"> </w:t>
      </w:r>
      <w:r w:rsidR="00602015">
        <w:rPr>
          <w:color w:val="121212"/>
          <w:szCs w:val="20"/>
        </w:rPr>
        <w:t xml:space="preserve">A Mohammed and L </w:t>
      </w:r>
      <w:proofErr w:type="gramStart"/>
      <w:r w:rsidR="00602015">
        <w:rPr>
          <w:color w:val="121212"/>
          <w:szCs w:val="20"/>
        </w:rPr>
        <w:t>A</w:t>
      </w:r>
      <w:proofErr w:type="gramEnd"/>
      <w:r w:rsidR="00602015">
        <w:rPr>
          <w:color w:val="121212"/>
          <w:szCs w:val="20"/>
        </w:rPr>
        <w:t xml:space="preserve"> Adelakun, ‘The 2021 Nigerian Twitter Ban: A Text-Analytics and Survey Insight into Public Reactions and Outcomes in the Early Weeks of the Ban’ (2023) 8(4) </w:t>
      </w:r>
      <w:r w:rsidR="00602015">
        <w:rPr>
          <w:i/>
          <w:iCs/>
          <w:color w:val="121212"/>
          <w:szCs w:val="20"/>
        </w:rPr>
        <w:t>Communication and the Public</w:t>
      </w:r>
      <w:r w:rsidR="00602015">
        <w:rPr>
          <w:color w:val="121212"/>
          <w:szCs w:val="20"/>
        </w:rPr>
        <w:t xml:space="preserve"> 239–258 </w:t>
      </w:r>
      <w:r w:rsidR="00602015">
        <w:rPr>
          <w:rStyle w:val="footnotemark"/>
          <w:color w:val="121212"/>
          <w:szCs w:val="20"/>
        </w:rPr>
        <w:t xml:space="preserve"> </w:t>
      </w:r>
    </w:p>
  </w:footnote>
  <w:footnote w:id="2">
    <w:p w14:paraId="60929DDD"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rStyle w:val="footnotemark"/>
          <w:color w:val="121212"/>
          <w:szCs w:val="20"/>
        </w:rPr>
        <w:t xml:space="preserve"> </w:t>
      </w:r>
      <w:r>
        <w:rPr>
          <w:color w:val="121212"/>
          <w:szCs w:val="20"/>
        </w:rPr>
        <w:t xml:space="preserve">E Douek, ‘Governing Online Speech: From “Posts-as-Trumps” to Proportionality and Probability’ (2022) 121(3) </w:t>
      </w:r>
      <w:r>
        <w:rPr>
          <w:i/>
          <w:iCs/>
          <w:color w:val="121212"/>
          <w:szCs w:val="20"/>
        </w:rPr>
        <w:t>Columbia Law Review</w:t>
      </w:r>
      <w:r>
        <w:rPr>
          <w:color w:val="121212"/>
          <w:szCs w:val="20"/>
        </w:rPr>
        <w:t xml:space="preserve"> 759–834</w:t>
      </w:r>
      <w:r>
        <w:rPr>
          <w:color w:val="121212"/>
          <w:szCs w:val="20"/>
        </w:rPr>
        <w:t xml:space="preserve">; </w:t>
      </w:r>
      <w:r>
        <w:rPr>
          <w:color w:val="121212"/>
          <w:szCs w:val="20"/>
        </w:rPr>
        <w:t xml:space="preserve">O </w:t>
      </w:r>
      <w:proofErr w:type="spellStart"/>
      <w:r>
        <w:rPr>
          <w:color w:val="121212"/>
          <w:szCs w:val="20"/>
        </w:rPr>
        <w:t>O</w:t>
      </w:r>
      <w:proofErr w:type="spellEnd"/>
      <w:r>
        <w:rPr>
          <w:color w:val="121212"/>
          <w:szCs w:val="20"/>
        </w:rPr>
        <w:t xml:space="preserve"> </w:t>
      </w:r>
      <w:proofErr w:type="spellStart"/>
      <w:r>
        <w:rPr>
          <w:color w:val="121212"/>
          <w:szCs w:val="20"/>
        </w:rPr>
        <w:t>Oyinloye</w:t>
      </w:r>
      <w:proofErr w:type="spellEnd"/>
      <w:r>
        <w:rPr>
          <w:color w:val="121212"/>
          <w:szCs w:val="20"/>
        </w:rPr>
        <w:t xml:space="preserve">, N A </w:t>
      </w:r>
      <w:proofErr w:type="spellStart"/>
      <w:r>
        <w:rPr>
          <w:color w:val="121212"/>
          <w:szCs w:val="20"/>
        </w:rPr>
        <w:t>Oyegoke</w:t>
      </w:r>
      <w:proofErr w:type="spellEnd"/>
      <w:r>
        <w:rPr>
          <w:color w:val="121212"/>
          <w:szCs w:val="20"/>
        </w:rPr>
        <w:t xml:space="preserve">, V E Odion and O </w:t>
      </w:r>
      <w:proofErr w:type="spellStart"/>
      <w:r>
        <w:rPr>
          <w:color w:val="121212"/>
          <w:szCs w:val="20"/>
        </w:rPr>
        <w:t>O</w:t>
      </w:r>
      <w:proofErr w:type="spellEnd"/>
      <w:r>
        <w:rPr>
          <w:color w:val="121212"/>
          <w:szCs w:val="20"/>
        </w:rPr>
        <w:t xml:space="preserve"> </w:t>
      </w:r>
      <w:proofErr w:type="spellStart"/>
      <w:r>
        <w:rPr>
          <w:color w:val="121212"/>
          <w:szCs w:val="20"/>
        </w:rPr>
        <w:t>Ojewumi</w:t>
      </w:r>
      <w:proofErr w:type="spellEnd"/>
      <w:r>
        <w:rPr>
          <w:color w:val="121212"/>
          <w:szCs w:val="20"/>
        </w:rPr>
        <w:t xml:space="preserve">, ‘Regulation, Censorship and Media Freedom’ (2024) 14(2) </w:t>
      </w:r>
      <w:r>
        <w:rPr>
          <w:i/>
          <w:iCs/>
          <w:color w:val="121212"/>
          <w:szCs w:val="20"/>
        </w:rPr>
        <w:t xml:space="preserve">African Journal of Social and </w:t>
      </w:r>
      <w:proofErr w:type="spellStart"/>
      <w:r>
        <w:rPr>
          <w:i/>
          <w:iCs/>
          <w:color w:val="121212"/>
          <w:szCs w:val="20"/>
        </w:rPr>
        <w:t>Behavioural</w:t>
      </w:r>
      <w:proofErr w:type="spellEnd"/>
      <w:r>
        <w:rPr>
          <w:i/>
          <w:iCs/>
          <w:color w:val="121212"/>
          <w:szCs w:val="20"/>
        </w:rPr>
        <w:t xml:space="preserve"> Sciences</w:t>
      </w:r>
      <w:r>
        <w:rPr>
          <w:color w:val="121212"/>
          <w:szCs w:val="20"/>
        </w:rPr>
        <w:t xml:space="preserve"> 651–670 </w:t>
      </w:r>
    </w:p>
  </w:footnote>
  <w:footnote w:id="3">
    <w:p w14:paraId="63D5BEED"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w:t>
      </w:r>
      <w:r>
        <w:rPr>
          <w:color w:val="121212"/>
          <w:szCs w:val="20"/>
        </w:rPr>
        <w:t xml:space="preserve">R Nwabueze, ‘Media Freedom and Human Rights in Nigeria’ (2017) 16(1) </w:t>
      </w:r>
      <w:r>
        <w:rPr>
          <w:i/>
          <w:iCs/>
          <w:color w:val="121212"/>
          <w:szCs w:val="20"/>
        </w:rPr>
        <w:t>Journal of Human Rights</w:t>
      </w:r>
      <w:r>
        <w:rPr>
          <w:color w:val="121212"/>
          <w:szCs w:val="20"/>
        </w:rPr>
        <w:t xml:space="preserve"> 5–20</w:t>
      </w:r>
    </w:p>
  </w:footnote>
  <w:footnote w:id="4">
    <w:p w14:paraId="737CE1C5"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w:t>
      </w:r>
      <w:r>
        <w:rPr>
          <w:color w:val="121212"/>
          <w:szCs w:val="20"/>
        </w:rPr>
        <w:t xml:space="preserve">S </w:t>
      </w:r>
      <w:proofErr w:type="spellStart"/>
      <w:r>
        <w:rPr>
          <w:color w:val="121212"/>
          <w:szCs w:val="20"/>
        </w:rPr>
        <w:t>Nossel</w:t>
      </w:r>
      <w:proofErr w:type="spellEnd"/>
      <w:r>
        <w:rPr>
          <w:color w:val="121212"/>
          <w:szCs w:val="20"/>
        </w:rPr>
        <w:t xml:space="preserve">, ‘Government Censorship and Free Speech in Democracies: Challenges and Responses’ (2019) 18(3) </w:t>
      </w:r>
      <w:r>
        <w:rPr>
          <w:i/>
          <w:iCs/>
          <w:color w:val="121212"/>
          <w:szCs w:val="20"/>
        </w:rPr>
        <w:t>Democracy and Society</w:t>
      </w:r>
      <w:r>
        <w:rPr>
          <w:color w:val="121212"/>
          <w:szCs w:val="20"/>
        </w:rPr>
        <w:t xml:space="preserve"> 321–338</w:t>
      </w:r>
      <w:r>
        <w:rPr>
          <w:color w:val="121212"/>
          <w:szCs w:val="20"/>
        </w:rPr>
        <w:t xml:space="preserve">; </w:t>
      </w:r>
      <w:r>
        <w:rPr>
          <w:color w:val="121212"/>
          <w:szCs w:val="20"/>
        </w:rPr>
        <w:t xml:space="preserve">S </w:t>
      </w:r>
      <w:proofErr w:type="spellStart"/>
      <w:r>
        <w:rPr>
          <w:color w:val="121212"/>
          <w:szCs w:val="20"/>
        </w:rPr>
        <w:t>Nossel</w:t>
      </w:r>
      <w:proofErr w:type="spellEnd"/>
      <w:r>
        <w:rPr>
          <w:color w:val="121212"/>
          <w:szCs w:val="20"/>
        </w:rPr>
        <w:t xml:space="preserve">, ‘Tech Giants and Online Content Moderation: Debates in Democracies’ (2019) 69(6) </w:t>
      </w:r>
      <w:r>
        <w:rPr>
          <w:i/>
          <w:iCs/>
          <w:color w:val="121212"/>
          <w:szCs w:val="20"/>
        </w:rPr>
        <w:t xml:space="preserve">Journal of Communication </w:t>
      </w:r>
      <w:r>
        <w:rPr>
          <w:color w:val="121212"/>
          <w:szCs w:val="20"/>
        </w:rPr>
        <w:t>545–</w:t>
      </w:r>
      <w:proofErr w:type="gramStart"/>
      <w:r>
        <w:rPr>
          <w:color w:val="121212"/>
          <w:szCs w:val="20"/>
        </w:rPr>
        <w:t>563..</w:t>
      </w:r>
      <w:proofErr w:type="gramEnd"/>
    </w:p>
  </w:footnote>
  <w:footnote w:id="5">
    <w:p w14:paraId="55F48EFD"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w:t>
      </w:r>
      <w:r>
        <w:rPr>
          <w:rFonts w:hint="eastAsia"/>
        </w:rPr>
        <w:t xml:space="preserve">D Levi-Faur, ‘The Global Diffusion of Regulatory Capitalism’ (2005) 598(1) </w:t>
      </w:r>
      <w:r>
        <w:rPr>
          <w:rFonts w:hint="eastAsia"/>
          <w:i/>
          <w:iCs/>
        </w:rPr>
        <w:t>The ANNALS of the American Academy of Political and Social Science</w:t>
      </w:r>
      <w:r>
        <w:rPr>
          <w:rFonts w:hint="eastAsia"/>
        </w:rPr>
        <w:t xml:space="preserve"> 12–32.</w:t>
      </w:r>
      <w:r>
        <w:t xml:space="preserve"> </w:t>
      </w:r>
    </w:p>
  </w:footnote>
  <w:footnote w:id="6">
    <w:p w14:paraId="3E04FDF5"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w:t>
      </w:r>
      <w:r>
        <w:rPr>
          <w:rFonts w:eastAsia="Apple SD Gothic Neo Regular"/>
          <w:color w:val="121212"/>
          <w:sz w:val="24"/>
          <w:szCs w:val="24"/>
        </w:rPr>
        <w:t xml:space="preserve"> </w:t>
      </w:r>
      <w:r>
        <w:rPr>
          <w:rFonts w:hint="eastAsia"/>
        </w:rPr>
        <w:t xml:space="preserve">J Braithwaite, </w:t>
      </w:r>
      <w:r>
        <w:rPr>
          <w:rFonts w:hint="eastAsia"/>
          <w:i/>
          <w:iCs/>
        </w:rPr>
        <w:t xml:space="preserve">Regulatory Capitalism: How It Works, Ideas for Making It Work Better </w:t>
      </w:r>
      <w:r>
        <w:rPr>
          <w:rFonts w:hint="eastAsia"/>
        </w:rPr>
        <w:t>(Edward Elgar 2008)</w:t>
      </w:r>
      <w:r>
        <w:t xml:space="preserve"> 309. </w:t>
      </w:r>
    </w:p>
  </w:footnote>
  <w:footnote w:id="7">
    <w:p w14:paraId="0B9264CF"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w:t>
      </w:r>
      <w:r>
        <w:rPr>
          <w:rFonts w:hint="eastAsia"/>
        </w:rPr>
        <w:t xml:space="preserve">D C North, </w:t>
      </w:r>
      <w:r>
        <w:rPr>
          <w:rFonts w:hint="eastAsia"/>
          <w:i/>
          <w:iCs/>
        </w:rPr>
        <w:t xml:space="preserve">Institutions, Institutional Change and Economic Performance </w:t>
      </w:r>
      <w:r>
        <w:rPr>
          <w:rFonts w:hint="eastAsia"/>
        </w:rPr>
        <w:t>(Cambridge University Press 1990)</w:t>
      </w:r>
      <w:r>
        <w:t xml:space="preserve"> 321. </w:t>
      </w:r>
    </w:p>
  </w:footnote>
  <w:footnote w:id="8">
    <w:p w14:paraId="7CCBB2C8"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w:t>
      </w:r>
      <w:r>
        <w:t>Ibid</w:t>
      </w:r>
    </w:p>
  </w:footnote>
  <w:footnote w:id="9">
    <w:p w14:paraId="7BC2F792"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w:t>
      </w:r>
      <w:r>
        <w:rPr>
          <w:rFonts w:hint="eastAsia"/>
        </w:rPr>
        <w:t xml:space="preserve">R </w:t>
      </w:r>
      <w:proofErr w:type="spellStart"/>
      <w:r>
        <w:rPr>
          <w:rFonts w:hint="eastAsia"/>
        </w:rPr>
        <w:t>Gorwa</w:t>
      </w:r>
      <w:proofErr w:type="spellEnd"/>
      <w:r>
        <w:rPr>
          <w:rFonts w:hint="eastAsia"/>
        </w:rPr>
        <w:t xml:space="preserve">, ‘The Platform Governance Triangle: </w:t>
      </w:r>
      <w:proofErr w:type="spellStart"/>
      <w:r>
        <w:rPr>
          <w:rFonts w:hint="eastAsia"/>
        </w:rPr>
        <w:t>Conceptualising</w:t>
      </w:r>
      <w:proofErr w:type="spellEnd"/>
      <w:r>
        <w:rPr>
          <w:rFonts w:hint="eastAsia"/>
        </w:rPr>
        <w:t xml:space="preserve"> the Informal Regulation of Online Content’ (2019) 8(2) </w:t>
      </w:r>
      <w:r>
        <w:rPr>
          <w:rFonts w:hint="eastAsia"/>
          <w:i/>
          <w:iCs/>
        </w:rPr>
        <w:t>Internet Policy Review</w:t>
      </w:r>
      <w:r>
        <w:t xml:space="preserve"> 231. </w:t>
      </w:r>
    </w:p>
  </w:footnote>
  <w:footnote w:id="10">
    <w:p w14:paraId="36138D98"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w:t>
      </w:r>
      <w:r>
        <w:t>Ibid</w:t>
      </w:r>
    </w:p>
  </w:footnote>
  <w:footnote w:id="11">
    <w:p w14:paraId="691678DD"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w:t>
      </w:r>
      <w:r>
        <w:rPr>
          <w:rFonts w:hint="eastAsia"/>
        </w:rPr>
        <w:t xml:space="preserve">N Suzor, </w:t>
      </w:r>
      <w:r>
        <w:rPr>
          <w:rFonts w:hint="eastAsia"/>
          <w:i/>
          <w:iCs/>
        </w:rPr>
        <w:t xml:space="preserve">Lawless: The Secret Rules That Govern Our Digital Lives </w:t>
      </w:r>
      <w:r>
        <w:rPr>
          <w:rFonts w:hint="eastAsia"/>
        </w:rPr>
        <w:t>(Cambridge University Press 2019)</w:t>
      </w:r>
      <w:r>
        <w:t xml:space="preserve"> 109. </w:t>
      </w:r>
    </w:p>
  </w:footnote>
  <w:footnote w:id="12">
    <w:p w14:paraId="7950BEF7"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w:t>
      </w:r>
      <w:r>
        <w:rPr>
          <w:color w:val="121212"/>
          <w:szCs w:val="20"/>
        </w:rPr>
        <w:t>Article 33 of the Constitution of Kenya of 2010</w:t>
      </w:r>
    </w:p>
  </w:footnote>
  <w:footnote w:id="13">
    <w:p w14:paraId="75BA7CED"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w:t>
      </w:r>
      <w:r>
        <w:rPr>
          <w:color w:val="121212"/>
          <w:szCs w:val="20"/>
        </w:rPr>
        <w:t xml:space="preserve">W R Mbioh, ‘Resisting Meta: Content Moderation, Diffraction and the Constitutive Power of Kenyan Law within the Global South’ (2025) 21(4) </w:t>
      </w:r>
      <w:r>
        <w:rPr>
          <w:i/>
          <w:iCs/>
          <w:color w:val="121212"/>
          <w:szCs w:val="20"/>
        </w:rPr>
        <w:t>International Journal of Law in Context</w:t>
      </w:r>
      <w:r>
        <w:rPr>
          <w:color w:val="121212"/>
          <w:szCs w:val="20"/>
        </w:rPr>
        <w:t xml:space="preserve"> 711.</w:t>
      </w:r>
    </w:p>
  </w:footnote>
  <w:footnote w:id="14">
    <w:p w14:paraId="58606580" w14:textId="77777777" w:rsidR="003775F4" w:rsidRDefault="00602015">
      <w:pPr>
        <w:widowControl/>
        <w:snapToGrid w:val="0"/>
        <w:spacing w:line="240" w:lineRule="auto"/>
        <w:rPr>
          <w:color w:val="121212"/>
          <w:sz w:val="20"/>
          <w:szCs w:val="20"/>
        </w:rPr>
      </w:pPr>
      <w:r>
        <w:rPr>
          <w:rStyle w:val="footnotemark"/>
          <w:color w:val="121212"/>
          <w:szCs w:val="20"/>
        </w:rPr>
        <w:footnoteRef/>
      </w:r>
      <w:r>
        <w:rPr>
          <w:color w:val="121212"/>
          <w:sz w:val="20"/>
          <w:szCs w:val="20"/>
        </w:rPr>
        <w:t xml:space="preserve"> </w:t>
      </w:r>
      <w:r>
        <w:rPr>
          <w:color w:val="121212"/>
          <w:sz w:val="20"/>
          <w:szCs w:val="20"/>
        </w:rPr>
        <w:t>Kenya Information and Communications Act (Cap. 411A)</w:t>
      </w:r>
      <w:r>
        <w:rPr>
          <w:rFonts w:eastAsia="Apple SD Gothic Neo Regular"/>
          <w:color w:val="121212"/>
          <w:sz w:val="20"/>
          <w:szCs w:val="20"/>
        </w:rPr>
        <w:t>.</w:t>
      </w:r>
    </w:p>
  </w:footnote>
  <w:footnote w:id="15">
    <w:p w14:paraId="01D51771"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w:t>
      </w:r>
      <w:r>
        <w:rPr>
          <w:color w:val="121212"/>
          <w:szCs w:val="20"/>
        </w:rPr>
        <w:t>Sections 5, 23, 25, 46A–46J, 83A–83W, and 102A–102F of the Kenya Information and Communications Act.</w:t>
      </w:r>
    </w:p>
  </w:footnote>
  <w:footnote w:id="16">
    <w:p w14:paraId="2216DD3E"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w:t>
      </w:r>
      <w:r>
        <w:rPr>
          <w:color w:val="121212"/>
          <w:szCs w:val="20"/>
        </w:rPr>
        <w:t xml:space="preserve">Section 22,23, 27, 28, and 29 of the </w:t>
      </w:r>
      <w:r>
        <w:rPr>
          <w:color w:val="121212"/>
          <w:szCs w:val="20"/>
        </w:rPr>
        <w:t>Computer Misuse and Cybercrimes Act,</w:t>
      </w:r>
    </w:p>
  </w:footnote>
  <w:footnote w:id="17">
    <w:p w14:paraId="2874BFAA"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w:t>
      </w:r>
      <w:r>
        <w:rPr>
          <w:color w:val="121212"/>
          <w:szCs w:val="20"/>
        </w:rPr>
        <w:t xml:space="preserve"> M Singhal and others, ‘</w:t>
      </w:r>
      <w:proofErr w:type="spellStart"/>
      <w:r>
        <w:rPr>
          <w:color w:val="121212"/>
          <w:szCs w:val="20"/>
        </w:rPr>
        <w:t>SoK</w:t>
      </w:r>
      <w:proofErr w:type="spellEnd"/>
      <w:r>
        <w:rPr>
          <w:color w:val="121212"/>
          <w:szCs w:val="20"/>
        </w:rPr>
        <w:t xml:space="preserve">: Content Moderation in Social Media, from Guidelines to Enforcement, and Research to Practice’ (2022) </w:t>
      </w:r>
      <w:proofErr w:type="spellStart"/>
      <w:r>
        <w:rPr>
          <w:i/>
          <w:iCs/>
          <w:color w:val="121212"/>
          <w:szCs w:val="20"/>
        </w:rPr>
        <w:t>arXiv</w:t>
      </w:r>
      <w:proofErr w:type="spellEnd"/>
      <w:r>
        <w:rPr>
          <w:i/>
          <w:iCs/>
          <w:color w:val="121212"/>
          <w:szCs w:val="20"/>
        </w:rPr>
        <w:t xml:space="preserve"> </w:t>
      </w:r>
      <w:r>
        <w:rPr>
          <w:color w:val="121212"/>
          <w:szCs w:val="20"/>
        </w:rPr>
        <w:t>212;</w:t>
      </w:r>
      <w:r>
        <w:rPr>
          <w:color w:val="121212"/>
          <w:szCs w:val="20"/>
        </w:rPr>
        <w:t xml:space="preserve"> J Cai and others, ‘Content Moderation Justice and Fairness on </w:t>
      </w:r>
      <w:proofErr w:type="gramStart"/>
      <w:r>
        <w:rPr>
          <w:color w:val="121212"/>
          <w:szCs w:val="20"/>
        </w:rPr>
        <w:t>Social Media</w:t>
      </w:r>
      <w:proofErr w:type="gramEnd"/>
      <w:r>
        <w:rPr>
          <w:color w:val="121212"/>
          <w:szCs w:val="20"/>
        </w:rPr>
        <w:t xml:space="preserve">: Comparisons Across Different Contexts and Platforms’ (2024) </w:t>
      </w:r>
      <w:proofErr w:type="spellStart"/>
      <w:r>
        <w:rPr>
          <w:i/>
          <w:iCs/>
          <w:color w:val="121212"/>
          <w:szCs w:val="20"/>
        </w:rPr>
        <w:t>arXiv</w:t>
      </w:r>
      <w:proofErr w:type="spellEnd"/>
      <w:r>
        <w:rPr>
          <w:i/>
          <w:iCs/>
          <w:color w:val="121212"/>
          <w:szCs w:val="20"/>
        </w:rPr>
        <w:t xml:space="preserve"> </w:t>
      </w:r>
      <w:r>
        <w:rPr>
          <w:color w:val="121212"/>
          <w:szCs w:val="20"/>
        </w:rPr>
        <w:t xml:space="preserve">123. </w:t>
      </w:r>
    </w:p>
  </w:footnote>
  <w:footnote w:id="18">
    <w:p w14:paraId="0F1711A7"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w:t>
      </w:r>
      <w:r>
        <w:rPr>
          <w:color w:val="121212"/>
          <w:szCs w:val="20"/>
        </w:rPr>
        <w:t xml:space="preserve"> C Katzenbach </w:t>
      </w:r>
      <w:r>
        <w:rPr>
          <w:color w:val="121212"/>
          <w:szCs w:val="20"/>
        </w:rPr>
        <w:t>et al.</w:t>
      </w:r>
      <w:r>
        <w:rPr>
          <w:color w:val="121212"/>
          <w:szCs w:val="20"/>
        </w:rPr>
        <w:t xml:space="preserve">, ‘Policing Platforms: Addressing Power and Inequalities in Platform Policies’ (2022) </w:t>
      </w:r>
      <w:proofErr w:type="spellStart"/>
      <w:r>
        <w:rPr>
          <w:i/>
          <w:iCs/>
          <w:color w:val="121212"/>
          <w:szCs w:val="20"/>
        </w:rPr>
        <w:t>AoIR</w:t>
      </w:r>
      <w:proofErr w:type="spellEnd"/>
      <w:r>
        <w:rPr>
          <w:i/>
          <w:iCs/>
          <w:color w:val="121212"/>
          <w:szCs w:val="20"/>
        </w:rPr>
        <w:t xml:space="preserve"> Selected Papers of Internet Research</w:t>
      </w:r>
      <w:r>
        <w:rPr>
          <w:color w:val="121212"/>
          <w:szCs w:val="20"/>
        </w:rPr>
        <w:t xml:space="preserve"> 121; </w:t>
      </w:r>
      <w:r>
        <w:rPr>
          <w:color w:val="121212"/>
          <w:szCs w:val="20"/>
        </w:rPr>
        <w:t xml:space="preserve">M </w:t>
      </w:r>
      <w:proofErr w:type="spellStart"/>
      <w:r>
        <w:rPr>
          <w:color w:val="121212"/>
          <w:szCs w:val="20"/>
        </w:rPr>
        <w:t>Tighanimine</w:t>
      </w:r>
      <w:proofErr w:type="spellEnd"/>
      <w:r>
        <w:rPr>
          <w:color w:val="121212"/>
          <w:szCs w:val="20"/>
        </w:rPr>
        <w:t xml:space="preserve"> </w:t>
      </w:r>
      <w:r>
        <w:rPr>
          <w:color w:val="121212"/>
          <w:szCs w:val="20"/>
        </w:rPr>
        <w:t>et al.</w:t>
      </w:r>
      <w:r>
        <w:rPr>
          <w:color w:val="121212"/>
          <w:szCs w:val="20"/>
        </w:rPr>
        <w:t>, ‘Auditing African Content Moderators’ Working Conditions by Using the European General Data Protection Regulation (GDPR)’ (202</w:t>
      </w:r>
      <w:r>
        <w:rPr>
          <w:color w:val="121212"/>
          <w:szCs w:val="20"/>
        </w:rPr>
        <w:t>3</w:t>
      </w:r>
      <w:r>
        <w:rPr>
          <w:color w:val="121212"/>
          <w:szCs w:val="20"/>
        </w:rPr>
        <w:t xml:space="preserve">) </w:t>
      </w:r>
      <w:proofErr w:type="spellStart"/>
      <w:r>
        <w:rPr>
          <w:rFonts w:eastAsia="Noto Sans"/>
          <w:i/>
          <w:color w:val="121212"/>
          <w:szCs w:val="20"/>
          <w:lang w:eastAsia="zh-CN" w:bidi="ar"/>
        </w:rPr>
        <w:t>AoIR</w:t>
      </w:r>
      <w:proofErr w:type="spellEnd"/>
      <w:r>
        <w:rPr>
          <w:rFonts w:eastAsia="Noto Sans"/>
          <w:i/>
          <w:color w:val="121212"/>
          <w:szCs w:val="20"/>
          <w:lang w:eastAsia="zh-CN" w:bidi="ar"/>
        </w:rPr>
        <w:t xml:space="preserve"> Selected Papers of Internet Research</w:t>
      </w:r>
      <w:r>
        <w:rPr>
          <w:rFonts w:eastAsia="Noto Sans"/>
          <w:color w:val="121212"/>
          <w:szCs w:val="20"/>
          <w:shd w:val="clear" w:color="auto" w:fill="FFFFFF"/>
          <w:lang w:eastAsia="zh-CN" w:bidi="ar"/>
        </w:rPr>
        <w:t>, </w:t>
      </w:r>
      <w:r>
        <w:rPr>
          <w:rFonts w:eastAsia="Noto Sans"/>
          <w:color w:val="121212"/>
          <w:szCs w:val="20"/>
          <w:lang w:eastAsia="zh-CN" w:bidi="ar"/>
        </w:rPr>
        <w:t>20-22</w:t>
      </w:r>
      <w:r>
        <w:rPr>
          <w:color w:val="121212"/>
          <w:szCs w:val="20"/>
        </w:rPr>
        <w:t>.</w:t>
      </w:r>
    </w:p>
  </w:footnote>
  <w:footnote w:id="19">
    <w:p w14:paraId="5505A251"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w:t>
      </w:r>
      <w:r>
        <w:rPr>
          <w:color w:val="121212"/>
          <w:szCs w:val="20"/>
        </w:rPr>
        <w:t xml:space="preserve"> T Gillespie, ‘Content Moderation, AI, and the Question of Platform Governance’ (2018) </w:t>
      </w:r>
      <w:r>
        <w:rPr>
          <w:i/>
          <w:iCs/>
          <w:color w:val="121212"/>
          <w:szCs w:val="20"/>
        </w:rPr>
        <w:t>New Media &amp; Society</w:t>
      </w:r>
      <w:r>
        <w:rPr>
          <w:color w:val="121212"/>
          <w:szCs w:val="20"/>
        </w:rPr>
        <w:t xml:space="preserve"> </w:t>
      </w:r>
      <w:r>
        <w:rPr>
          <w:color w:val="121212"/>
          <w:szCs w:val="20"/>
        </w:rPr>
        <w:t>14</w:t>
      </w:r>
      <w:r>
        <w:rPr>
          <w:color w:val="121212"/>
          <w:szCs w:val="20"/>
        </w:rPr>
        <w:t>;</w:t>
      </w:r>
      <w:r>
        <w:rPr>
          <w:color w:val="121212"/>
          <w:szCs w:val="20"/>
        </w:rPr>
        <w:t xml:space="preserve"> S T Roberts, ‘Commercial Content Moderation: Digital Labor and the Social Media Industry’ (2019) </w:t>
      </w:r>
      <w:proofErr w:type="gramStart"/>
      <w:r>
        <w:rPr>
          <w:i/>
          <w:iCs/>
          <w:color w:val="121212"/>
          <w:szCs w:val="20"/>
        </w:rPr>
        <w:t>Social Media</w:t>
      </w:r>
      <w:proofErr w:type="gramEnd"/>
      <w:r>
        <w:rPr>
          <w:i/>
          <w:iCs/>
          <w:color w:val="121212"/>
          <w:szCs w:val="20"/>
        </w:rPr>
        <w:t xml:space="preserve"> + Society</w:t>
      </w:r>
      <w:r>
        <w:rPr>
          <w:i/>
          <w:iCs/>
          <w:color w:val="121212"/>
          <w:szCs w:val="20"/>
        </w:rPr>
        <w:t xml:space="preserve"> </w:t>
      </w:r>
      <w:r>
        <w:rPr>
          <w:color w:val="121212"/>
          <w:szCs w:val="20"/>
        </w:rPr>
        <w:t>15</w:t>
      </w:r>
      <w:r>
        <w:rPr>
          <w:color w:val="121212"/>
          <w:szCs w:val="20"/>
        </w:rPr>
        <w:t xml:space="preserve">; </w:t>
      </w:r>
      <w:r>
        <w:rPr>
          <w:color w:val="121212"/>
          <w:szCs w:val="20"/>
        </w:rPr>
        <w:t xml:space="preserve">N Suzor, ‘Digital Constitutionalism and Platform Governance’ (2019) 15(2) </w:t>
      </w:r>
      <w:r>
        <w:rPr>
          <w:i/>
          <w:iCs/>
          <w:color w:val="121212"/>
          <w:szCs w:val="20"/>
        </w:rPr>
        <w:t>International Journal of Communication</w:t>
      </w:r>
      <w:r>
        <w:rPr>
          <w:color w:val="121212"/>
          <w:szCs w:val="20"/>
        </w:rPr>
        <w:t xml:space="preserve"> 112. </w:t>
      </w:r>
    </w:p>
  </w:footnote>
  <w:footnote w:id="20">
    <w:p w14:paraId="3EC6420A"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w:t>
      </w:r>
      <w:r>
        <w:rPr>
          <w:color w:val="121212"/>
          <w:szCs w:val="20"/>
        </w:rPr>
        <w:t xml:space="preserve">R </w:t>
      </w:r>
      <w:proofErr w:type="spellStart"/>
      <w:r>
        <w:rPr>
          <w:color w:val="121212"/>
          <w:szCs w:val="20"/>
        </w:rPr>
        <w:t>Gorwa</w:t>
      </w:r>
      <w:proofErr w:type="spellEnd"/>
      <w:r>
        <w:rPr>
          <w:color w:val="121212"/>
          <w:szCs w:val="20"/>
        </w:rPr>
        <w:t xml:space="preserve">, R Binns and C Katzenbach, ‘Algorithmic Content Moderation: Technical and Political Challenges in the Automation of Platform Governance’ (2020) 7(1) </w:t>
      </w:r>
      <w:r>
        <w:rPr>
          <w:i/>
          <w:iCs/>
          <w:color w:val="121212"/>
          <w:szCs w:val="20"/>
        </w:rPr>
        <w:t>Big Data &amp; Society</w:t>
      </w:r>
      <w:r>
        <w:rPr>
          <w:color w:val="121212"/>
          <w:szCs w:val="20"/>
        </w:rPr>
        <w:t xml:space="preserve"> 21</w:t>
      </w:r>
    </w:p>
  </w:footnote>
  <w:footnote w:id="21">
    <w:p w14:paraId="43336707"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T Goodman, ‘A Principled Approach to Infrastructure Moderation’ (2024) 15(2) </w:t>
      </w:r>
      <w:r>
        <w:rPr>
          <w:i/>
          <w:iCs/>
          <w:color w:val="121212"/>
          <w:szCs w:val="20"/>
        </w:rPr>
        <w:t>European Journal of Law and Technology</w:t>
      </w:r>
      <w:r>
        <w:rPr>
          <w:i/>
          <w:iCs/>
          <w:color w:val="121212"/>
          <w:szCs w:val="20"/>
        </w:rPr>
        <w:t xml:space="preserve"> </w:t>
      </w:r>
      <w:r>
        <w:rPr>
          <w:color w:val="121212"/>
          <w:szCs w:val="20"/>
        </w:rPr>
        <w:t>8</w:t>
      </w:r>
      <w:r>
        <w:rPr>
          <w:color w:val="121212"/>
          <w:szCs w:val="20"/>
        </w:rPr>
        <w:t xml:space="preserve">1; </w:t>
      </w:r>
      <w:r>
        <w:rPr>
          <w:color w:val="121212"/>
          <w:szCs w:val="20"/>
        </w:rPr>
        <w:t xml:space="preserve">Y E Ayalew, ‘A Third-World Critique of the International Human Rights-Based Approach to Content Moderation’ (2025) 16(4) </w:t>
      </w:r>
      <w:r>
        <w:rPr>
          <w:i/>
          <w:iCs/>
          <w:color w:val="121212"/>
          <w:szCs w:val="20"/>
        </w:rPr>
        <w:t>Transnational Legal Theory</w:t>
      </w:r>
      <w:r>
        <w:rPr>
          <w:color w:val="121212"/>
          <w:szCs w:val="20"/>
        </w:rPr>
        <w:t xml:space="preserve"> 55. </w:t>
      </w:r>
    </w:p>
  </w:footnote>
  <w:footnote w:id="22">
    <w:p w14:paraId="3A509C63"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w:t>
      </w:r>
      <w:r>
        <w:rPr>
          <w:color w:val="121212"/>
          <w:szCs w:val="20"/>
        </w:rPr>
        <w:t xml:space="preserve">B Rieder and Y Skop, ‘The Fabrics of Machine Moderation: Studying the Technical, Normative, and Organizational Structure of Perspective API’ (2021) 8(2) </w:t>
      </w:r>
      <w:r>
        <w:rPr>
          <w:i/>
          <w:iCs/>
          <w:color w:val="121212"/>
          <w:szCs w:val="20"/>
        </w:rPr>
        <w:t>Big Data &amp; Society</w:t>
      </w:r>
      <w:r>
        <w:rPr>
          <w:color w:val="121212"/>
          <w:szCs w:val="20"/>
        </w:rPr>
        <w:t xml:space="preserve"> 16-21</w:t>
      </w:r>
    </w:p>
  </w:footnote>
  <w:footnote w:id="23">
    <w:p w14:paraId="3F8A9B2B"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D Liu, ‘The Balancing Acts: Communicating Legitimacy in Global Speech Governance’ (2025) </w:t>
      </w:r>
      <w:proofErr w:type="gramStart"/>
      <w:r>
        <w:rPr>
          <w:i/>
          <w:iCs/>
          <w:color w:val="121212"/>
          <w:szCs w:val="20"/>
        </w:rPr>
        <w:t>Social Media</w:t>
      </w:r>
      <w:proofErr w:type="gramEnd"/>
      <w:r>
        <w:rPr>
          <w:i/>
          <w:iCs/>
          <w:color w:val="121212"/>
          <w:szCs w:val="20"/>
        </w:rPr>
        <w:t xml:space="preserve"> + Society</w:t>
      </w:r>
      <w:r>
        <w:rPr>
          <w:color w:val="121212"/>
          <w:szCs w:val="20"/>
        </w:rPr>
        <w:t xml:space="preserve"> 190. </w:t>
      </w:r>
    </w:p>
  </w:footnote>
  <w:footnote w:id="24">
    <w:p w14:paraId="6F3EFBE4"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M R </w:t>
      </w:r>
      <w:proofErr w:type="spellStart"/>
      <w:r>
        <w:rPr>
          <w:color w:val="121212"/>
          <w:szCs w:val="20"/>
        </w:rPr>
        <w:t>Gumati</w:t>
      </w:r>
      <w:proofErr w:type="spellEnd"/>
      <w:r>
        <w:rPr>
          <w:color w:val="121212"/>
          <w:szCs w:val="20"/>
        </w:rPr>
        <w:t xml:space="preserve">, ‘Digital Sovereignty or Regulatory Overreach? The Case of Indonesia’s Platform Registration Policy’ (2025) </w:t>
      </w:r>
      <w:r>
        <w:rPr>
          <w:i/>
          <w:iCs/>
          <w:color w:val="121212"/>
          <w:szCs w:val="20"/>
        </w:rPr>
        <w:t xml:space="preserve">Global Media and </w:t>
      </w:r>
      <w:proofErr w:type="gramStart"/>
      <w:r>
        <w:rPr>
          <w:i/>
          <w:iCs/>
          <w:color w:val="121212"/>
          <w:szCs w:val="20"/>
        </w:rPr>
        <w:t>Communication</w:t>
      </w:r>
      <w:r>
        <w:rPr>
          <w:color w:val="121212"/>
          <w:szCs w:val="20"/>
        </w:rPr>
        <w:t xml:space="preserve">  </w:t>
      </w:r>
      <w:r>
        <w:rPr>
          <w:color w:val="121212"/>
          <w:szCs w:val="20"/>
        </w:rPr>
        <w:t>21</w:t>
      </w:r>
      <w:r>
        <w:rPr>
          <w:color w:val="121212"/>
          <w:szCs w:val="20"/>
        </w:rPr>
        <w:t>3</w:t>
      </w:r>
      <w:proofErr w:type="gramEnd"/>
      <w:r>
        <w:rPr>
          <w:color w:val="121212"/>
          <w:szCs w:val="20"/>
        </w:rPr>
        <w:t xml:space="preserve">; </w:t>
      </w:r>
      <w:r>
        <w:rPr>
          <w:color w:val="121212"/>
          <w:szCs w:val="20"/>
        </w:rPr>
        <w:t xml:space="preserve">E </w:t>
      </w:r>
      <w:proofErr w:type="spellStart"/>
      <w:r>
        <w:rPr>
          <w:color w:val="121212"/>
          <w:szCs w:val="20"/>
        </w:rPr>
        <w:t>Febryani</w:t>
      </w:r>
      <w:proofErr w:type="spellEnd"/>
      <w:r>
        <w:rPr>
          <w:color w:val="121212"/>
          <w:szCs w:val="20"/>
        </w:rPr>
        <w:t xml:space="preserve">, ‘The Impact of Content Moderation Policy on the Spread of Fake News on Social Media in Indonesia’ (2025) </w:t>
      </w:r>
      <w:r>
        <w:rPr>
          <w:i/>
          <w:iCs/>
          <w:color w:val="121212"/>
          <w:szCs w:val="20"/>
        </w:rPr>
        <w:t>The Easta Journal Law and Human Rights</w:t>
      </w:r>
      <w:r>
        <w:rPr>
          <w:color w:val="121212"/>
          <w:szCs w:val="20"/>
        </w:rPr>
        <w:t xml:space="preserve"> </w:t>
      </w:r>
      <w:r>
        <w:rPr>
          <w:color w:val="121212"/>
          <w:szCs w:val="20"/>
        </w:rPr>
        <w:t xml:space="preserve">109. </w:t>
      </w:r>
    </w:p>
  </w:footnote>
  <w:footnote w:id="25">
    <w:p w14:paraId="26E67303"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w:t>
      </w:r>
      <w:r>
        <w:rPr>
          <w:color w:val="121212"/>
          <w:szCs w:val="20"/>
        </w:rPr>
        <w:t xml:space="preserve">M Ozanne </w:t>
      </w:r>
      <w:r>
        <w:rPr>
          <w:color w:val="121212"/>
          <w:szCs w:val="20"/>
        </w:rPr>
        <w:t xml:space="preserve">et al., </w:t>
      </w:r>
      <w:r>
        <w:rPr>
          <w:color w:val="121212"/>
          <w:szCs w:val="20"/>
        </w:rPr>
        <w:t xml:space="preserve">‘Shall AI Moderators Be Made Visible? Perception of Accountability and Trust in Moderation Systems on Social Media Platforms’ (2022) 9(2) </w:t>
      </w:r>
      <w:r>
        <w:rPr>
          <w:i/>
          <w:iCs/>
          <w:color w:val="121212"/>
          <w:szCs w:val="20"/>
        </w:rPr>
        <w:t>Big Data &amp; Society</w:t>
      </w:r>
      <w:r>
        <w:rPr>
          <w:i/>
          <w:iCs/>
          <w:color w:val="121212"/>
          <w:szCs w:val="20"/>
        </w:rPr>
        <w:t xml:space="preserve"> </w:t>
      </w:r>
      <w:r>
        <w:rPr>
          <w:color w:val="121212"/>
          <w:szCs w:val="20"/>
        </w:rPr>
        <w:t xml:space="preserve">101. </w:t>
      </w:r>
    </w:p>
  </w:footnote>
  <w:footnote w:id="26">
    <w:p w14:paraId="734D841F"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Indonesia, Law No. 11 of 2008 on Electronic Information and Transactions (2008), as amended by Law No. 19 of 2016 on Amendment to Law No. 11 of 2008 on Electronic Information and Transactions.</w:t>
      </w:r>
    </w:p>
  </w:footnote>
  <w:footnote w:id="27">
    <w:p w14:paraId="2087B2DA"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Ibid</w:t>
      </w:r>
    </w:p>
  </w:footnote>
  <w:footnote w:id="28">
    <w:p w14:paraId="21DF47A3"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w:t>
      </w:r>
      <w:r>
        <w:rPr>
          <w:color w:val="121212"/>
          <w:szCs w:val="20"/>
        </w:rPr>
        <w:t>Indonesia, Government Regulation No. 71 of 2019 on the Implementation of Electronic Systems and Transactions (2019).</w:t>
      </w:r>
    </w:p>
  </w:footnote>
  <w:footnote w:id="29">
    <w:p w14:paraId="460066D7"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N Suzor, ‘Digital Constitutionalism and Platform Governance’ (2019) </w:t>
      </w:r>
      <w:r>
        <w:rPr>
          <w:i/>
          <w:iCs/>
          <w:color w:val="121212"/>
          <w:szCs w:val="20"/>
        </w:rPr>
        <w:t>International Journal of Communication</w:t>
      </w:r>
      <w:r>
        <w:rPr>
          <w:color w:val="121212"/>
          <w:szCs w:val="20"/>
        </w:rPr>
        <w:t xml:space="preserve"> 105. </w:t>
      </w:r>
    </w:p>
  </w:footnote>
  <w:footnote w:id="30">
    <w:p w14:paraId="0C60B1C5"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w:t>
      </w:r>
      <w:r>
        <w:rPr>
          <w:color w:val="121212"/>
          <w:szCs w:val="20"/>
        </w:rPr>
        <w:t xml:space="preserve"> D Liu, ‘Borderline Content and </w:t>
      </w:r>
      <w:proofErr w:type="spellStart"/>
      <w:r>
        <w:rPr>
          <w:color w:val="121212"/>
          <w:szCs w:val="20"/>
        </w:rPr>
        <w:t>Platformised</w:t>
      </w:r>
      <w:proofErr w:type="spellEnd"/>
      <w:r>
        <w:rPr>
          <w:color w:val="121212"/>
          <w:szCs w:val="20"/>
        </w:rPr>
        <w:t xml:space="preserve"> Speech Governance: Mapping TikTok’s Moderation Controversies in South and Southeast Asia’ (2025) </w:t>
      </w:r>
      <w:proofErr w:type="spellStart"/>
      <w:r>
        <w:rPr>
          <w:i/>
          <w:iCs/>
          <w:color w:val="121212"/>
          <w:szCs w:val="20"/>
        </w:rPr>
        <w:t>AoIR</w:t>
      </w:r>
      <w:proofErr w:type="spellEnd"/>
      <w:r>
        <w:rPr>
          <w:i/>
          <w:iCs/>
          <w:color w:val="121212"/>
          <w:szCs w:val="20"/>
        </w:rPr>
        <w:t xml:space="preserve"> Selected Papers of Internet Research </w:t>
      </w:r>
      <w:r>
        <w:rPr>
          <w:color w:val="121212"/>
          <w:szCs w:val="20"/>
        </w:rPr>
        <w:t>10</w:t>
      </w:r>
      <w:r>
        <w:rPr>
          <w:color w:val="121212"/>
          <w:szCs w:val="20"/>
        </w:rPr>
        <w:t>7</w:t>
      </w:r>
      <w:r>
        <w:rPr>
          <w:color w:val="121212"/>
          <w:szCs w:val="20"/>
        </w:rPr>
        <w:t xml:space="preserve">; </w:t>
      </w:r>
      <w:r>
        <w:rPr>
          <w:color w:val="121212"/>
          <w:szCs w:val="20"/>
        </w:rPr>
        <w:t xml:space="preserve">M </w:t>
      </w:r>
      <w:proofErr w:type="spellStart"/>
      <w:r>
        <w:rPr>
          <w:color w:val="121212"/>
          <w:szCs w:val="20"/>
        </w:rPr>
        <w:t>Alatas</w:t>
      </w:r>
      <w:proofErr w:type="spellEnd"/>
      <w:r>
        <w:rPr>
          <w:color w:val="121212"/>
          <w:szCs w:val="20"/>
        </w:rPr>
        <w:t>, S M Jaya and I Khalid, ‘</w:t>
      </w:r>
      <w:proofErr w:type="spellStart"/>
      <w:r>
        <w:rPr>
          <w:color w:val="121212"/>
          <w:szCs w:val="20"/>
        </w:rPr>
        <w:t>Konstruksi</w:t>
      </w:r>
      <w:proofErr w:type="spellEnd"/>
      <w:r>
        <w:rPr>
          <w:color w:val="121212"/>
          <w:szCs w:val="20"/>
        </w:rPr>
        <w:t xml:space="preserve"> Etika Publik </w:t>
      </w:r>
      <w:proofErr w:type="spellStart"/>
      <w:r>
        <w:rPr>
          <w:color w:val="121212"/>
          <w:szCs w:val="20"/>
        </w:rPr>
        <w:t>dalam</w:t>
      </w:r>
      <w:proofErr w:type="spellEnd"/>
      <w:r>
        <w:rPr>
          <w:color w:val="121212"/>
          <w:szCs w:val="20"/>
        </w:rPr>
        <w:t xml:space="preserve"> Tata Kelola </w:t>
      </w:r>
      <w:proofErr w:type="spellStart"/>
      <w:r>
        <w:rPr>
          <w:color w:val="121212"/>
          <w:szCs w:val="20"/>
        </w:rPr>
        <w:t>Algoritma</w:t>
      </w:r>
      <w:proofErr w:type="spellEnd"/>
      <w:r>
        <w:rPr>
          <w:color w:val="121212"/>
          <w:szCs w:val="20"/>
        </w:rPr>
        <w:t xml:space="preserve"> Media </w:t>
      </w:r>
      <w:proofErr w:type="spellStart"/>
      <w:r>
        <w:rPr>
          <w:color w:val="121212"/>
          <w:szCs w:val="20"/>
        </w:rPr>
        <w:t>Sosial</w:t>
      </w:r>
      <w:proofErr w:type="spellEnd"/>
      <w:r>
        <w:rPr>
          <w:color w:val="121212"/>
          <w:szCs w:val="20"/>
        </w:rPr>
        <w:t xml:space="preserve"> di Masyarakat </w:t>
      </w:r>
      <w:proofErr w:type="spellStart"/>
      <w:r>
        <w:rPr>
          <w:color w:val="121212"/>
          <w:szCs w:val="20"/>
        </w:rPr>
        <w:t>Demokratis</w:t>
      </w:r>
      <w:proofErr w:type="spellEnd"/>
      <w:r>
        <w:rPr>
          <w:color w:val="121212"/>
          <w:szCs w:val="20"/>
        </w:rPr>
        <w:t xml:space="preserve">’ (2025) </w:t>
      </w:r>
      <w:r>
        <w:rPr>
          <w:i/>
          <w:iCs/>
          <w:color w:val="121212"/>
          <w:szCs w:val="20"/>
        </w:rPr>
        <w:t xml:space="preserve">PERSEPTIF: </w:t>
      </w:r>
      <w:proofErr w:type="spellStart"/>
      <w:r>
        <w:rPr>
          <w:i/>
          <w:iCs/>
          <w:color w:val="121212"/>
          <w:szCs w:val="20"/>
        </w:rPr>
        <w:t>Jurnal</w:t>
      </w:r>
      <w:proofErr w:type="spellEnd"/>
      <w:r>
        <w:rPr>
          <w:i/>
          <w:iCs/>
          <w:color w:val="121212"/>
          <w:szCs w:val="20"/>
        </w:rPr>
        <w:t xml:space="preserve"> </w:t>
      </w:r>
      <w:proofErr w:type="spellStart"/>
      <w:r>
        <w:rPr>
          <w:i/>
          <w:iCs/>
          <w:color w:val="121212"/>
          <w:szCs w:val="20"/>
        </w:rPr>
        <w:t>Ilmu</w:t>
      </w:r>
      <w:proofErr w:type="spellEnd"/>
      <w:r>
        <w:rPr>
          <w:i/>
          <w:iCs/>
          <w:color w:val="121212"/>
          <w:szCs w:val="20"/>
        </w:rPr>
        <w:t xml:space="preserve"> </w:t>
      </w:r>
      <w:proofErr w:type="spellStart"/>
      <w:r>
        <w:rPr>
          <w:i/>
          <w:iCs/>
          <w:color w:val="121212"/>
          <w:szCs w:val="20"/>
        </w:rPr>
        <w:t>Sosial</w:t>
      </w:r>
      <w:proofErr w:type="spellEnd"/>
      <w:r>
        <w:rPr>
          <w:i/>
          <w:iCs/>
          <w:color w:val="121212"/>
          <w:szCs w:val="20"/>
        </w:rPr>
        <w:t xml:space="preserve"> dan </w:t>
      </w:r>
      <w:proofErr w:type="spellStart"/>
      <w:proofErr w:type="gramStart"/>
      <w:r>
        <w:rPr>
          <w:i/>
          <w:iCs/>
          <w:color w:val="121212"/>
          <w:szCs w:val="20"/>
        </w:rPr>
        <w:t>Humaniora</w:t>
      </w:r>
      <w:proofErr w:type="spellEnd"/>
      <w:r>
        <w:rPr>
          <w:color w:val="121212"/>
          <w:szCs w:val="20"/>
        </w:rPr>
        <w:t xml:space="preserve">  </w:t>
      </w:r>
      <w:r>
        <w:rPr>
          <w:color w:val="121212"/>
          <w:szCs w:val="20"/>
        </w:rPr>
        <w:t>119</w:t>
      </w:r>
      <w:proofErr w:type="gramEnd"/>
      <w:r>
        <w:rPr>
          <w:color w:val="121212"/>
          <w:szCs w:val="20"/>
        </w:rPr>
        <w:t xml:space="preserve">. </w:t>
      </w:r>
    </w:p>
  </w:footnote>
  <w:footnote w:id="31">
    <w:p w14:paraId="7C3956AB"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w:t>
      </w:r>
      <w:r>
        <w:rPr>
          <w:color w:val="121212"/>
          <w:szCs w:val="20"/>
        </w:rPr>
        <w:t xml:space="preserve"> R </w:t>
      </w:r>
      <w:proofErr w:type="spellStart"/>
      <w:r>
        <w:rPr>
          <w:color w:val="121212"/>
          <w:szCs w:val="20"/>
        </w:rPr>
        <w:t>Gorwa</w:t>
      </w:r>
      <w:proofErr w:type="spellEnd"/>
      <w:r>
        <w:rPr>
          <w:color w:val="121212"/>
          <w:szCs w:val="20"/>
        </w:rPr>
        <w:t xml:space="preserve">, R Binns and C Katzenbach, ‘Algorithmic Content Moderation: Technical and Political Challenges in the Automation of Platform Governance’ (2020) 7(1) </w:t>
      </w:r>
      <w:r>
        <w:rPr>
          <w:i/>
          <w:iCs/>
          <w:color w:val="121212"/>
          <w:szCs w:val="20"/>
        </w:rPr>
        <w:t>Big Data &amp; Society</w:t>
      </w:r>
      <w:r>
        <w:rPr>
          <w:color w:val="121212"/>
          <w:szCs w:val="20"/>
        </w:rPr>
        <w:t xml:space="preserve"> 2</w:t>
      </w:r>
      <w:r>
        <w:rPr>
          <w:color w:val="121212"/>
          <w:szCs w:val="20"/>
        </w:rPr>
        <w:t>4</w:t>
      </w:r>
      <w:r>
        <w:rPr>
          <w:color w:val="121212"/>
          <w:szCs w:val="20"/>
        </w:rPr>
        <w:t xml:space="preserve">; </w:t>
      </w:r>
      <w:r>
        <w:rPr>
          <w:color w:val="121212"/>
          <w:szCs w:val="20"/>
        </w:rPr>
        <w:t xml:space="preserve">C Katzenbach and others, ‘Policing Platforms: Addressing Power and Inequalities in Platform Policies’ (2022) </w:t>
      </w:r>
      <w:proofErr w:type="spellStart"/>
      <w:r>
        <w:rPr>
          <w:i/>
          <w:iCs/>
          <w:color w:val="121212"/>
          <w:szCs w:val="20"/>
        </w:rPr>
        <w:t>AoIR</w:t>
      </w:r>
      <w:proofErr w:type="spellEnd"/>
      <w:r>
        <w:rPr>
          <w:i/>
          <w:iCs/>
          <w:color w:val="121212"/>
          <w:szCs w:val="20"/>
        </w:rPr>
        <w:t xml:space="preserve"> Selected Papers of Internet Research</w:t>
      </w:r>
      <w:r>
        <w:rPr>
          <w:i/>
          <w:iCs/>
          <w:color w:val="121212"/>
          <w:szCs w:val="20"/>
        </w:rPr>
        <w:t xml:space="preserve"> </w:t>
      </w:r>
      <w:r>
        <w:rPr>
          <w:color w:val="121212"/>
          <w:szCs w:val="20"/>
        </w:rPr>
        <w:t xml:space="preserve">112. </w:t>
      </w:r>
    </w:p>
  </w:footnote>
  <w:footnote w:id="32">
    <w:p w14:paraId="25D7ED0C"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Ibid</w:t>
      </w:r>
    </w:p>
  </w:footnote>
  <w:footnote w:id="33">
    <w:p w14:paraId="50588659"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w:t>
      </w:r>
      <w:r>
        <w:rPr>
          <w:color w:val="121212"/>
          <w:szCs w:val="20"/>
        </w:rPr>
        <w:t xml:space="preserve">B A </w:t>
      </w:r>
      <w:proofErr w:type="spellStart"/>
      <w:r>
        <w:rPr>
          <w:color w:val="121212"/>
          <w:szCs w:val="20"/>
        </w:rPr>
        <w:t>Krisetya</w:t>
      </w:r>
      <w:proofErr w:type="spellEnd"/>
      <w:r>
        <w:rPr>
          <w:color w:val="121212"/>
          <w:szCs w:val="20"/>
        </w:rPr>
        <w:t xml:space="preserve"> and R Rachman, ‘Indonesia’s Information Governance: New Nomenclatures, Same Old Problems?’ (2025) 52(4) </w:t>
      </w:r>
      <w:r>
        <w:rPr>
          <w:i/>
          <w:iCs/>
          <w:color w:val="121212"/>
          <w:szCs w:val="20"/>
        </w:rPr>
        <w:t xml:space="preserve">Indonesian Quarterly </w:t>
      </w:r>
      <w:r>
        <w:rPr>
          <w:color w:val="121212"/>
          <w:szCs w:val="20"/>
        </w:rPr>
        <w:t>337</w:t>
      </w:r>
      <w:r>
        <w:rPr>
          <w:color w:val="121212"/>
          <w:szCs w:val="20"/>
        </w:rPr>
        <w:t xml:space="preserve">; </w:t>
      </w:r>
      <w:r>
        <w:rPr>
          <w:color w:val="121212"/>
          <w:szCs w:val="20"/>
        </w:rPr>
        <w:t xml:space="preserve">S Zulfah, B J P </w:t>
      </w:r>
      <w:proofErr w:type="spellStart"/>
      <w:r>
        <w:rPr>
          <w:color w:val="121212"/>
          <w:szCs w:val="20"/>
        </w:rPr>
        <w:t>Hapsari</w:t>
      </w:r>
      <w:proofErr w:type="spellEnd"/>
      <w:r>
        <w:rPr>
          <w:color w:val="121212"/>
          <w:szCs w:val="20"/>
        </w:rPr>
        <w:t xml:space="preserve"> and F </w:t>
      </w:r>
      <w:proofErr w:type="spellStart"/>
      <w:r>
        <w:rPr>
          <w:color w:val="121212"/>
          <w:szCs w:val="20"/>
        </w:rPr>
        <w:t>Rusda</w:t>
      </w:r>
      <w:proofErr w:type="spellEnd"/>
      <w:r>
        <w:rPr>
          <w:color w:val="121212"/>
          <w:szCs w:val="20"/>
        </w:rPr>
        <w:t xml:space="preserve">, ‘Legal Responsibility of Digital Commerce Platforms for Seller Content that Violates Public Ethics’ (2025) 4(1) </w:t>
      </w:r>
      <w:r>
        <w:rPr>
          <w:i/>
          <w:iCs/>
          <w:color w:val="121212"/>
          <w:szCs w:val="20"/>
        </w:rPr>
        <w:t>Indonesia Media Law Review</w:t>
      </w:r>
      <w:r>
        <w:rPr>
          <w:color w:val="121212"/>
          <w:szCs w:val="20"/>
        </w:rPr>
        <w:t xml:space="preserve"> </w:t>
      </w:r>
      <w:r>
        <w:rPr>
          <w:color w:val="121212"/>
          <w:szCs w:val="20"/>
        </w:rPr>
        <w:t xml:space="preserve">112. </w:t>
      </w:r>
    </w:p>
  </w:footnote>
  <w:footnote w:id="34">
    <w:p w14:paraId="16FBB2FF"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w:t>
      </w:r>
      <w:r>
        <w:rPr>
          <w:color w:val="121212"/>
          <w:szCs w:val="20"/>
        </w:rPr>
        <w:t xml:space="preserve"> C </w:t>
      </w:r>
      <w:proofErr w:type="spellStart"/>
      <w:r>
        <w:rPr>
          <w:color w:val="121212"/>
          <w:szCs w:val="20"/>
        </w:rPr>
        <w:t>Papaevangelou</w:t>
      </w:r>
      <w:proofErr w:type="spellEnd"/>
      <w:r>
        <w:rPr>
          <w:color w:val="121212"/>
          <w:szCs w:val="20"/>
        </w:rPr>
        <w:t xml:space="preserve"> and F Votta, ‘Trading Nuance for Scale? Platform Observability and Content Governance under the DSA’ (2025) 14(3) </w:t>
      </w:r>
      <w:r>
        <w:rPr>
          <w:i/>
          <w:iCs/>
          <w:color w:val="121212"/>
          <w:szCs w:val="20"/>
        </w:rPr>
        <w:t>Internet Policy Review</w:t>
      </w:r>
      <w:r>
        <w:rPr>
          <w:i/>
          <w:iCs/>
          <w:color w:val="121212"/>
          <w:szCs w:val="20"/>
        </w:rPr>
        <w:t xml:space="preserve"> </w:t>
      </w:r>
      <w:r>
        <w:rPr>
          <w:color w:val="121212"/>
          <w:szCs w:val="20"/>
        </w:rPr>
        <w:t xml:space="preserve">21-43. </w:t>
      </w:r>
    </w:p>
  </w:footnote>
  <w:footnote w:id="35">
    <w:p w14:paraId="0E2814A6"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w:t>
      </w:r>
      <w:r>
        <w:rPr>
          <w:color w:val="121212"/>
          <w:szCs w:val="20"/>
        </w:rPr>
        <w:t xml:space="preserve">M R </w:t>
      </w:r>
      <w:proofErr w:type="spellStart"/>
      <w:r>
        <w:rPr>
          <w:color w:val="121212"/>
          <w:szCs w:val="20"/>
        </w:rPr>
        <w:t>Gumati</w:t>
      </w:r>
      <w:proofErr w:type="spellEnd"/>
      <w:r>
        <w:rPr>
          <w:color w:val="121212"/>
          <w:szCs w:val="20"/>
        </w:rPr>
        <w:t xml:space="preserve">, ‘Digital Sovereignty or Regulatory Overreach? The Case of Indonesia’s Platform Registration Policy’ (2025) </w:t>
      </w:r>
      <w:r>
        <w:rPr>
          <w:i/>
          <w:iCs/>
          <w:color w:val="121212"/>
          <w:szCs w:val="20"/>
        </w:rPr>
        <w:t xml:space="preserve">Global Media and </w:t>
      </w:r>
      <w:proofErr w:type="gramStart"/>
      <w:r>
        <w:rPr>
          <w:i/>
          <w:iCs/>
          <w:color w:val="121212"/>
          <w:szCs w:val="20"/>
        </w:rPr>
        <w:t>Communication</w:t>
      </w:r>
      <w:r>
        <w:rPr>
          <w:color w:val="121212"/>
          <w:szCs w:val="20"/>
        </w:rPr>
        <w:t xml:space="preserve">  </w:t>
      </w:r>
      <w:r>
        <w:rPr>
          <w:color w:val="121212"/>
          <w:szCs w:val="20"/>
        </w:rPr>
        <w:t>21</w:t>
      </w:r>
      <w:r>
        <w:rPr>
          <w:color w:val="121212"/>
          <w:szCs w:val="20"/>
        </w:rPr>
        <w:t>3</w:t>
      </w:r>
      <w:proofErr w:type="gramEnd"/>
      <w:r>
        <w:rPr>
          <w:color w:val="121212"/>
          <w:szCs w:val="20"/>
        </w:rPr>
        <w:t xml:space="preserve">; </w:t>
      </w:r>
      <w:r>
        <w:rPr>
          <w:color w:val="121212"/>
          <w:szCs w:val="20"/>
        </w:rPr>
        <w:t xml:space="preserve">E </w:t>
      </w:r>
      <w:proofErr w:type="spellStart"/>
      <w:r>
        <w:rPr>
          <w:color w:val="121212"/>
          <w:szCs w:val="20"/>
        </w:rPr>
        <w:t>Febryani</w:t>
      </w:r>
      <w:proofErr w:type="spellEnd"/>
      <w:r>
        <w:rPr>
          <w:color w:val="121212"/>
          <w:szCs w:val="20"/>
        </w:rPr>
        <w:t xml:space="preserve">, ‘The Impact of Content Moderation Policy on the Spread of Fake News on Social Media in Indonesia’ (2025) </w:t>
      </w:r>
      <w:r>
        <w:rPr>
          <w:i/>
          <w:iCs/>
          <w:color w:val="121212"/>
          <w:szCs w:val="20"/>
        </w:rPr>
        <w:t>The Easta Journal Law and Human Rights</w:t>
      </w:r>
      <w:r>
        <w:rPr>
          <w:color w:val="121212"/>
          <w:szCs w:val="20"/>
        </w:rPr>
        <w:t xml:space="preserve"> </w:t>
      </w:r>
      <w:r>
        <w:rPr>
          <w:color w:val="121212"/>
          <w:szCs w:val="20"/>
        </w:rPr>
        <w:t xml:space="preserve">109. </w:t>
      </w:r>
    </w:p>
  </w:footnote>
  <w:footnote w:id="36">
    <w:p w14:paraId="285B57BB"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w:t>
      </w:r>
      <w:r>
        <w:rPr>
          <w:rFonts w:eastAsia="Apple SD Gothic Neo Regular"/>
          <w:color w:val="121212"/>
          <w:szCs w:val="20"/>
        </w:rPr>
        <w:t xml:space="preserve"> </w:t>
      </w:r>
      <w:r>
        <w:rPr>
          <w:rFonts w:eastAsia="Apple SD Gothic Neo Regular"/>
          <w:color w:val="121212"/>
          <w:szCs w:val="20"/>
        </w:rPr>
        <w:t>Ibid</w:t>
      </w:r>
    </w:p>
  </w:footnote>
  <w:footnote w:id="37">
    <w:p w14:paraId="647B4172"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w:t>
      </w:r>
      <w:r>
        <w:rPr>
          <w:color w:val="121212"/>
          <w:szCs w:val="20"/>
        </w:rPr>
        <w:t>S</w:t>
      </w:r>
      <w:r>
        <w:rPr>
          <w:color w:val="121212"/>
          <w:szCs w:val="20"/>
        </w:rPr>
        <w:t>ection 24</w:t>
      </w:r>
      <w:r>
        <w:rPr>
          <w:color w:val="121212"/>
          <w:szCs w:val="20"/>
        </w:rPr>
        <w:t xml:space="preserve"> of the </w:t>
      </w:r>
      <w:r>
        <w:rPr>
          <w:color w:val="121212"/>
          <w:szCs w:val="20"/>
        </w:rPr>
        <w:t>Cybercrimes (Prohibition, Prevention, Etc.) Act 2015</w:t>
      </w:r>
    </w:p>
  </w:footnote>
  <w:footnote w:id="38">
    <w:p w14:paraId="5C21FE34"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Ibid</w:t>
      </w:r>
    </w:p>
  </w:footnote>
  <w:footnote w:id="39">
    <w:p w14:paraId="0A314FA8"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Section 34 </w:t>
      </w:r>
      <w:r>
        <w:rPr>
          <w:color w:val="121212"/>
          <w:szCs w:val="20"/>
        </w:rPr>
        <w:t xml:space="preserve">of the </w:t>
      </w:r>
      <w:r>
        <w:rPr>
          <w:color w:val="121212"/>
          <w:szCs w:val="20"/>
        </w:rPr>
        <w:t xml:space="preserve">Nigeria Data Protection Act 2023 </w:t>
      </w:r>
    </w:p>
  </w:footnote>
  <w:footnote w:id="40">
    <w:p w14:paraId="347DA721"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Section 6 </w:t>
      </w:r>
      <w:r>
        <w:rPr>
          <w:color w:val="121212"/>
          <w:szCs w:val="20"/>
        </w:rPr>
        <w:t xml:space="preserve">and 7 of the </w:t>
      </w:r>
      <w:r>
        <w:rPr>
          <w:color w:val="121212"/>
          <w:szCs w:val="20"/>
        </w:rPr>
        <w:t xml:space="preserve">NDPA 2023 </w:t>
      </w:r>
    </w:p>
  </w:footnote>
  <w:footnote w:id="41">
    <w:p w14:paraId="2F179430"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Ibid</w:t>
      </w:r>
    </w:p>
  </w:footnote>
  <w:footnote w:id="42">
    <w:p w14:paraId="20686025"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w:t>
      </w:r>
      <w:r>
        <w:rPr>
          <w:color w:val="121212"/>
          <w:szCs w:val="20"/>
        </w:rPr>
        <w:t xml:space="preserve">B </w:t>
      </w:r>
      <w:proofErr w:type="spellStart"/>
      <w:r>
        <w:rPr>
          <w:color w:val="121212"/>
          <w:szCs w:val="20"/>
        </w:rPr>
        <w:t>Adegbamigbe</w:t>
      </w:r>
      <w:proofErr w:type="spellEnd"/>
      <w:r>
        <w:rPr>
          <w:color w:val="121212"/>
          <w:szCs w:val="20"/>
        </w:rPr>
        <w:t xml:space="preserve">, ‘Media Freedom and Democracy in Nigeria’ (2019) 11(1) </w:t>
      </w:r>
      <w:r>
        <w:rPr>
          <w:i/>
          <w:iCs/>
          <w:color w:val="121212"/>
          <w:szCs w:val="20"/>
        </w:rPr>
        <w:t>Journal of African Media Studies</w:t>
      </w:r>
      <w:r>
        <w:rPr>
          <w:color w:val="121212"/>
          <w:szCs w:val="20"/>
        </w:rPr>
        <w:t xml:space="preserve"> 5–20</w:t>
      </w:r>
      <w:r>
        <w:rPr>
          <w:color w:val="121212"/>
          <w:szCs w:val="20"/>
        </w:rPr>
        <w:t xml:space="preserve">; </w:t>
      </w:r>
      <w:r>
        <w:rPr>
          <w:color w:val="121212"/>
          <w:szCs w:val="20"/>
        </w:rPr>
        <w:t xml:space="preserve">K Adejumo, ‘Regulatory Capture and Media Independence in Nigeria’ (2018) 22(3) </w:t>
      </w:r>
      <w:r>
        <w:rPr>
          <w:i/>
          <w:iCs/>
          <w:color w:val="121212"/>
          <w:szCs w:val="20"/>
        </w:rPr>
        <w:t xml:space="preserve">Journal of Media Economics </w:t>
      </w:r>
      <w:r>
        <w:rPr>
          <w:color w:val="121212"/>
          <w:szCs w:val="20"/>
        </w:rPr>
        <w:t>134–150.</w:t>
      </w:r>
    </w:p>
  </w:footnote>
  <w:footnote w:id="43">
    <w:p w14:paraId="11D847EE"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w:t>
      </w:r>
      <w:r>
        <w:rPr>
          <w:color w:val="121212"/>
          <w:szCs w:val="20"/>
        </w:rPr>
        <w:t xml:space="preserve">S </w:t>
      </w:r>
      <w:proofErr w:type="spellStart"/>
      <w:r>
        <w:rPr>
          <w:color w:val="121212"/>
          <w:szCs w:val="20"/>
        </w:rPr>
        <w:t>Nossel</w:t>
      </w:r>
      <w:proofErr w:type="spellEnd"/>
      <w:r>
        <w:rPr>
          <w:color w:val="121212"/>
          <w:szCs w:val="20"/>
        </w:rPr>
        <w:t xml:space="preserve">, ‘Government Censorship and Free Speech in Democracies: Challenges and Responses’ (2019) 18(3) </w:t>
      </w:r>
      <w:r>
        <w:rPr>
          <w:i/>
          <w:iCs/>
          <w:color w:val="121212"/>
          <w:szCs w:val="20"/>
        </w:rPr>
        <w:t>Democracy and Society</w:t>
      </w:r>
      <w:r>
        <w:rPr>
          <w:color w:val="121212"/>
          <w:szCs w:val="20"/>
        </w:rPr>
        <w:t xml:space="preserve"> 321–338</w:t>
      </w:r>
      <w:r>
        <w:rPr>
          <w:color w:val="121212"/>
          <w:szCs w:val="20"/>
        </w:rPr>
        <w:t xml:space="preserve">; </w:t>
      </w:r>
      <w:r>
        <w:rPr>
          <w:color w:val="121212"/>
          <w:szCs w:val="20"/>
        </w:rPr>
        <w:t xml:space="preserve">S </w:t>
      </w:r>
      <w:proofErr w:type="spellStart"/>
      <w:r>
        <w:rPr>
          <w:color w:val="121212"/>
          <w:szCs w:val="20"/>
        </w:rPr>
        <w:t>Nossel</w:t>
      </w:r>
      <w:proofErr w:type="spellEnd"/>
      <w:r>
        <w:rPr>
          <w:color w:val="121212"/>
          <w:szCs w:val="20"/>
        </w:rPr>
        <w:t xml:space="preserve">, ‘Tech Giants and Online Content Moderation: Debates in Democracies’ (2019) 69(6) </w:t>
      </w:r>
      <w:r>
        <w:rPr>
          <w:i/>
          <w:iCs/>
          <w:color w:val="121212"/>
          <w:szCs w:val="20"/>
        </w:rPr>
        <w:t>Journal of Communication</w:t>
      </w:r>
      <w:r>
        <w:rPr>
          <w:color w:val="121212"/>
          <w:szCs w:val="20"/>
        </w:rPr>
        <w:t xml:space="preserve"> 545–563</w:t>
      </w:r>
      <w:r>
        <w:rPr>
          <w:color w:val="121212"/>
          <w:szCs w:val="20"/>
        </w:rPr>
        <w:t xml:space="preserve">; </w:t>
      </w:r>
      <w:r>
        <w:rPr>
          <w:color w:val="121212"/>
          <w:szCs w:val="20"/>
        </w:rPr>
        <w:t xml:space="preserve">R Nwabueze, ‘Media Freedom and Human Rights in Nigeria’ (2017) 16(1) </w:t>
      </w:r>
      <w:r>
        <w:rPr>
          <w:i/>
          <w:iCs/>
          <w:color w:val="121212"/>
          <w:szCs w:val="20"/>
        </w:rPr>
        <w:t>Journal of Human Rights</w:t>
      </w:r>
      <w:r>
        <w:rPr>
          <w:color w:val="121212"/>
          <w:szCs w:val="20"/>
        </w:rPr>
        <w:t xml:space="preserve"> 5–20.</w:t>
      </w:r>
    </w:p>
  </w:footnote>
  <w:footnote w:id="44">
    <w:p w14:paraId="4C7D465A"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w:t>
      </w:r>
      <w:r>
        <w:rPr>
          <w:color w:val="121212"/>
          <w:szCs w:val="20"/>
        </w:rPr>
        <w:t xml:space="preserve">A Olaniyan and U </w:t>
      </w:r>
      <w:proofErr w:type="spellStart"/>
      <w:r>
        <w:rPr>
          <w:color w:val="121212"/>
          <w:szCs w:val="20"/>
        </w:rPr>
        <w:t>Akpojivi</w:t>
      </w:r>
      <w:proofErr w:type="spellEnd"/>
      <w:r>
        <w:rPr>
          <w:color w:val="121212"/>
          <w:szCs w:val="20"/>
        </w:rPr>
        <w:t xml:space="preserve">, ‘Transforming Communication, Social Media, Counter-Hegemony and the Struggle for the Soul of Nigeria’ (2021) 24(3) </w:t>
      </w:r>
      <w:r>
        <w:rPr>
          <w:i/>
          <w:iCs/>
          <w:color w:val="121212"/>
          <w:szCs w:val="20"/>
        </w:rPr>
        <w:t xml:space="preserve">Information, Communication &amp; Society </w:t>
      </w:r>
      <w:r>
        <w:rPr>
          <w:color w:val="121212"/>
          <w:szCs w:val="20"/>
        </w:rPr>
        <w:t>422–437</w:t>
      </w:r>
    </w:p>
  </w:footnote>
  <w:footnote w:id="45">
    <w:p w14:paraId="524A89F4"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w:t>
      </w:r>
      <w:r>
        <w:rPr>
          <w:color w:val="121212"/>
          <w:szCs w:val="20"/>
        </w:rPr>
        <w:t xml:space="preserve">A Mohammed and L </w:t>
      </w:r>
      <w:proofErr w:type="gramStart"/>
      <w:r>
        <w:rPr>
          <w:color w:val="121212"/>
          <w:szCs w:val="20"/>
        </w:rPr>
        <w:t>A</w:t>
      </w:r>
      <w:proofErr w:type="gramEnd"/>
      <w:r>
        <w:rPr>
          <w:color w:val="121212"/>
          <w:szCs w:val="20"/>
        </w:rPr>
        <w:t xml:space="preserve"> Adelakun, ‘The 2021 Nigerian Twitter Ban: A Text-Analytics and Survey Insight into Public Reactions and Outcomes in the Early Weeks of the Ban’ (2023) 8(4) </w:t>
      </w:r>
      <w:r>
        <w:rPr>
          <w:i/>
          <w:iCs/>
          <w:color w:val="121212"/>
          <w:szCs w:val="20"/>
        </w:rPr>
        <w:t>Communication and the Public</w:t>
      </w:r>
      <w:r>
        <w:rPr>
          <w:color w:val="121212"/>
          <w:szCs w:val="20"/>
        </w:rPr>
        <w:t xml:space="preserve"> 239–258 </w:t>
      </w:r>
    </w:p>
  </w:footnote>
  <w:footnote w:id="46">
    <w:p w14:paraId="6B75AE56"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w:t>
      </w:r>
      <w:r>
        <w:rPr>
          <w:color w:val="121212"/>
          <w:szCs w:val="20"/>
        </w:rPr>
        <w:t xml:space="preserve">B Adekunle, ‘Regulatory Inconsistencies and Media Freedom in Nigeria: A Case Study of the National Broadcasting Commission’ (2020) 13(4) </w:t>
      </w:r>
      <w:r>
        <w:rPr>
          <w:i/>
          <w:iCs/>
          <w:color w:val="121212"/>
          <w:szCs w:val="20"/>
        </w:rPr>
        <w:t>Journal of African Media Studies</w:t>
      </w:r>
      <w:r>
        <w:rPr>
          <w:color w:val="121212"/>
          <w:szCs w:val="20"/>
        </w:rPr>
        <w:t xml:space="preserve"> 210–225</w:t>
      </w:r>
    </w:p>
  </w:footnote>
  <w:footnote w:id="47">
    <w:p w14:paraId="20C0D1AB"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w:t>
      </w:r>
      <w:r>
        <w:rPr>
          <w:color w:val="121212"/>
          <w:szCs w:val="20"/>
        </w:rPr>
        <w:t xml:space="preserve">C </w:t>
      </w:r>
      <w:proofErr w:type="spellStart"/>
      <w:r>
        <w:rPr>
          <w:color w:val="121212"/>
          <w:szCs w:val="20"/>
        </w:rPr>
        <w:t>Berebon</w:t>
      </w:r>
      <w:proofErr w:type="spellEnd"/>
      <w:r>
        <w:rPr>
          <w:color w:val="121212"/>
          <w:szCs w:val="20"/>
        </w:rPr>
        <w:t xml:space="preserve">, ‘Regulation of Social Media and AI-Driven Content in Nigeria: Balancing Free Speech, Public Safety, and National Stability’ (2025) </w:t>
      </w:r>
      <w:r>
        <w:rPr>
          <w:i/>
          <w:iCs/>
          <w:color w:val="121212"/>
          <w:szCs w:val="20"/>
        </w:rPr>
        <w:t xml:space="preserve">ResearchGate </w:t>
      </w:r>
      <w:r>
        <w:rPr>
          <w:color w:val="121212"/>
          <w:szCs w:val="20"/>
        </w:rPr>
        <w:t>https://www.researchgate.net/publication/397817732￼ accessed 22 May 2026.</w:t>
      </w:r>
    </w:p>
  </w:footnote>
  <w:footnote w:id="48">
    <w:p w14:paraId="135E4F70"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Ibid</w:t>
      </w:r>
    </w:p>
  </w:footnote>
  <w:footnote w:id="49">
    <w:p w14:paraId="733B9F6B"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w:t>
      </w:r>
      <w:r>
        <w:rPr>
          <w:color w:val="121212"/>
          <w:szCs w:val="20"/>
        </w:rPr>
        <w:t xml:space="preserve">O </w:t>
      </w:r>
      <w:proofErr w:type="spellStart"/>
      <w:r>
        <w:rPr>
          <w:color w:val="121212"/>
          <w:szCs w:val="20"/>
        </w:rPr>
        <w:t>O</w:t>
      </w:r>
      <w:proofErr w:type="spellEnd"/>
      <w:r>
        <w:rPr>
          <w:color w:val="121212"/>
          <w:szCs w:val="20"/>
        </w:rPr>
        <w:t xml:space="preserve"> </w:t>
      </w:r>
      <w:proofErr w:type="spellStart"/>
      <w:r>
        <w:rPr>
          <w:color w:val="121212"/>
          <w:szCs w:val="20"/>
        </w:rPr>
        <w:t>Oyinloye</w:t>
      </w:r>
      <w:proofErr w:type="spellEnd"/>
      <w:r>
        <w:rPr>
          <w:color w:val="121212"/>
          <w:szCs w:val="20"/>
        </w:rPr>
        <w:t xml:space="preserve">, N A </w:t>
      </w:r>
      <w:proofErr w:type="spellStart"/>
      <w:r>
        <w:rPr>
          <w:color w:val="121212"/>
          <w:szCs w:val="20"/>
        </w:rPr>
        <w:t>Oyegoke</w:t>
      </w:r>
      <w:proofErr w:type="spellEnd"/>
      <w:r>
        <w:rPr>
          <w:color w:val="121212"/>
          <w:szCs w:val="20"/>
        </w:rPr>
        <w:t xml:space="preserve">, V E Odion and O </w:t>
      </w:r>
      <w:proofErr w:type="spellStart"/>
      <w:r>
        <w:rPr>
          <w:color w:val="121212"/>
          <w:szCs w:val="20"/>
        </w:rPr>
        <w:t>O</w:t>
      </w:r>
      <w:proofErr w:type="spellEnd"/>
      <w:r>
        <w:rPr>
          <w:color w:val="121212"/>
          <w:szCs w:val="20"/>
        </w:rPr>
        <w:t xml:space="preserve"> </w:t>
      </w:r>
      <w:proofErr w:type="spellStart"/>
      <w:r>
        <w:rPr>
          <w:color w:val="121212"/>
          <w:szCs w:val="20"/>
        </w:rPr>
        <w:t>Ojewumi</w:t>
      </w:r>
      <w:proofErr w:type="spellEnd"/>
      <w:r>
        <w:rPr>
          <w:color w:val="121212"/>
          <w:szCs w:val="20"/>
        </w:rPr>
        <w:t xml:space="preserve">, ‘Regulation, Censorship and Media Freedom’ (2024) 14(2) </w:t>
      </w:r>
      <w:r>
        <w:rPr>
          <w:i/>
          <w:iCs/>
          <w:color w:val="121212"/>
          <w:szCs w:val="20"/>
        </w:rPr>
        <w:t xml:space="preserve">African Journal of Social and </w:t>
      </w:r>
      <w:proofErr w:type="spellStart"/>
      <w:r>
        <w:rPr>
          <w:i/>
          <w:iCs/>
          <w:color w:val="121212"/>
          <w:szCs w:val="20"/>
        </w:rPr>
        <w:t>Behavioural</w:t>
      </w:r>
      <w:proofErr w:type="spellEnd"/>
      <w:r>
        <w:rPr>
          <w:i/>
          <w:iCs/>
          <w:color w:val="121212"/>
          <w:szCs w:val="20"/>
        </w:rPr>
        <w:t xml:space="preserve"> Sciences </w:t>
      </w:r>
      <w:r>
        <w:rPr>
          <w:color w:val="121212"/>
          <w:szCs w:val="20"/>
        </w:rPr>
        <w:t xml:space="preserve">651–670 </w:t>
      </w:r>
    </w:p>
  </w:footnote>
  <w:footnote w:id="50">
    <w:p w14:paraId="031DEBD6"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w:t>
      </w:r>
      <w:r>
        <w:rPr>
          <w:color w:val="121212"/>
          <w:szCs w:val="20"/>
        </w:rPr>
        <w:t xml:space="preserve">A K Nyuon, ‘Platform Accountability and Content Moderation: Hate Speech and Incitement in African Contexts: Political Economy Dimensions’ (2025) </w:t>
      </w:r>
      <w:r>
        <w:rPr>
          <w:color w:val="121212"/>
          <w:szCs w:val="20"/>
        </w:rPr>
        <w:t xml:space="preserve">1(1) </w:t>
      </w:r>
      <w:r>
        <w:rPr>
          <w:i/>
          <w:iCs/>
          <w:color w:val="121212"/>
          <w:szCs w:val="20"/>
        </w:rPr>
        <w:t>African Transitional Justice Law</w:t>
      </w:r>
      <w:r>
        <w:rPr>
          <w:color w:val="121212"/>
          <w:szCs w:val="20"/>
        </w:rPr>
        <w:t xml:space="preserve"> 45. </w:t>
      </w:r>
    </w:p>
  </w:footnote>
  <w:footnote w:id="51">
    <w:p w14:paraId="46EA43A2"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Ibid</w:t>
      </w:r>
    </w:p>
  </w:footnote>
  <w:footnote w:id="52">
    <w:p w14:paraId="4393298D"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w:t>
      </w:r>
      <w:r>
        <w:rPr>
          <w:color w:val="121212"/>
          <w:szCs w:val="20"/>
        </w:rPr>
        <w:t xml:space="preserve">G </w:t>
      </w:r>
      <w:r>
        <w:rPr>
          <w:color w:val="121212"/>
          <w:szCs w:val="20"/>
        </w:rPr>
        <w:t>Doyle</w:t>
      </w:r>
      <w:r>
        <w:rPr>
          <w:color w:val="121212"/>
          <w:szCs w:val="20"/>
        </w:rPr>
        <w:t xml:space="preserve">, </w:t>
      </w:r>
      <w:r>
        <w:rPr>
          <w:color w:val="121212"/>
          <w:szCs w:val="20"/>
        </w:rPr>
        <w:t>‘Media Ownership and Regulation: A Chronological Analysis’ (2018) 22(3) Media Studies Journal 134–150</w:t>
      </w:r>
      <w:r>
        <w:rPr>
          <w:color w:val="121212"/>
          <w:szCs w:val="20"/>
        </w:rPr>
        <w:t xml:space="preserve">; T </w:t>
      </w:r>
      <w:r>
        <w:rPr>
          <w:color w:val="121212"/>
          <w:szCs w:val="20"/>
        </w:rPr>
        <w:t>Dwyer</w:t>
      </w:r>
      <w:r>
        <w:rPr>
          <w:color w:val="121212"/>
          <w:szCs w:val="20"/>
        </w:rPr>
        <w:t xml:space="preserve">, </w:t>
      </w:r>
      <w:r>
        <w:rPr>
          <w:color w:val="121212"/>
          <w:szCs w:val="20"/>
        </w:rPr>
        <w:t xml:space="preserve">‘Regulatory Frameworks and Media Ownership: A Comparative Analysis’ (2017) 11 </w:t>
      </w:r>
      <w:r>
        <w:rPr>
          <w:i/>
          <w:iCs/>
          <w:color w:val="121212"/>
          <w:szCs w:val="20"/>
        </w:rPr>
        <w:t>International Journal of Communication</w:t>
      </w:r>
      <w:r>
        <w:rPr>
          <w:color w:val="121212"/>
          <w:szCs w:val="20"/>
        </w:rPr>
        <w:t xml:space="preserve"> 2765–2783.</w:t>
      </w:r>
    </w:p>
  </w:footnote>
  <w:footnote w:id="53">
    <w:p w14:paraId="37649C91"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w:t>
      </w:r>
      <w:r>
        <w:rPr>
          <w:color w:val="121212"/>
          <w:szCs w:val="20"/>
        </w:rPr>
        <w:t xml:space="preserve">D </w:t>
      </w:r>
      <w:r>
        <w:rPr>
          <w:color w:val="121212"/>
          <w:szCs w:val="20"/>
        </w:rPr>
        <w:t xml:space="preserve">Freedman, ‘Regulating the Media: A Historical Overview’ (2015) 40(2) </w:t>
      </w:r>
      <w:r>
        <w:rPr>
          <w:i/>
          <w:iCs/>
          <w:color w:val="121212"/>
          <w:szCs w:val="20"/>
        </w:rPr>
        <w:t xml:space="preserve">Journalism Quarterly </w:t>
      </w:r>
      <w:r>
        <w:rPr>
          <w:color w:val="121212"/>
          <w:szCs w:val="20"/>
        </w:rPr>
        <w:t>89–104.</w:t>
      </w:r>
    </w:p>
  </w:footnote>
  <w:footnote w:id="54">
    <w:p w14:paraId="5CA86F04"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w:t>
      </w:r>
      <w:r>
        <w:rPr>
          <w:color w:val="121212"/>
          <w:szCs w:val="20"/>
        </w:rPr>
        <w:t xml:space="preserve">S Iyengar and DS Massey, ‘Scientific Communication in a Post-Truth Society’ (2019) 116(16) </w:t>
      </w:r>
      <w:r>
        <w:rPr>
          <w:i/>
          <w:iCs/>
          <w:color w:val="121212"/>
          <w:szCs w:val="20"/>
        </w:rPr>
        <w:t xml:space="preserve">Proceedings of the National Academy of Sciences of the United States of America </w:t>
      </w:r>
      <w:r>
        <w:rPr>
          <w:color w:val="121212"/>
          <w:szCs w:val="20"/>
        </w:rPr>
        <w:t xml:space="preserve">7656–7661 </w:t>
      </w:r>
    </w:p>
  </w:footnote>
  <w:footnote w:id="55">
    <w:p w14:paraId="3DA726B1"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w:t>
      </w:r>
      <w:r>
        <w:rPr>
          <w:color w:val="121212"/>
          <w:szCs w:val="20"/>
        </w:rPr>
        <w:t>T</w:t>
      </w:r>
      <w:r>
        <w:rPr>
          <w:color w:val="121212"/>
          <w:szCs w:val="20"/>
        </w:rPr>
        <w:t xml:space="preserve"> </w:t>
      </w:r>
      <w:r>
        <w:rPr>
          <w:color w:val="121212"/>
          <w:szCs w:val="20"/>
        </w:rPr>
        <w:t xml:space="preserve">Barnett, ‘Censorship and Democracy: A Comparative Analysis’ (2016) 30(2) </w:t>
      </w:r>
      <w:r>
        <w:rPr>
          <w:i/>
          <w:iCs/>
          <w:color w:val="121212"/>
          <w:szCs w:val="20"/>
        </w:rPr>
        <w:t>Journal of Communication</w:t>
      </w:r>
      <w:r>
        <w:rPr>
          <w:color w:val="121212"/>
          <w:szCs w:val="20"/>
        </w:rPr>
        <w:t xml:space="preserve"> 145–162</w:t>
      </w:r>
      <w:r>
        <w:rPr>
          <w:color w:val="121212"/>
          <w:szCs w:val="20"/>
        </w:rPr>
        <w:t xml:space="preserve">; P </w:t>
      </w:r>
      <w:r>
        <w:rPr>
          <w:color w:val="121212"/>
          <w:szCs w:val="20"/>
        </w:rPr>
        <w:t xml:space="preserve">Black, ‘Censorship and Self-Censorship in Nigeria: Challenges and Opportunities’ (2018) 41(3) </w:t>
      </w:r>
      <w:r>
        <w:rPr>
          <w:i/>
          <w:iCs/>
          <w:color w:val="121212"/>
          <w:szCs w:val="20"/>
        </w:rPr>
        <w:t>African Journalism Studies</w:t>
      </w:r>
      <w:r>
        <w:rPr>
          <w:color w:val="121212"/>
          <w:szCs w:val="20"/>
        </w:rPr>
        <w:t xml:space="preserve"> 207–224</w:t>
      </w:r>
      <w:r>
        <w:rPr>
          <w:color w:val="121212"/>
          <w:szCs w:val="20"/>
        </w:rPr>
        <w:t>; D C</w:t>
      </w:r>
      <w:r>
        <w:rPr>
          <w:color w:val="121212"/>
          <w:szCs w:val="20"/>
        </w:rPr>
        <w:t>hong and</w:t>
      </w:r>
      <w:r>
        <w:rPr>
          <w:color w:val="121212"/>
          <w:szCs w:val="20"/>
        </w:rPr>
        <w:t xml:space="preserve"> </w:t>
      </w:r>
      <w:proofErr w:type="gramStart"/>
      <w:r>
        <w:rPr>
          <w:color w:val="121212"/>
          <w:szCs w:val="20"/>
        </w:rPr>
        <w:t xml:space="preserve">JN </w:t>
      </w:r>
      <w:r>
        <w:rPr>
          <w:color w:val="121212"/>
          <w:szCs w:val="20"/>
        </w:rPr>
        <w:t xml:space="preserve"> Druckman</w:t>
      </w:r>
      <w:proofErr w:type="gramEnd"/>
      <w:r>
        <w:rPr>
          <w:color w:val="121212"/>
          <w:szCs w:val="20"/>
        </w:rPr>
        <w:t xml:space="preserve">, </w:t>
      </w:r>
      <w:r>
        <w:rPr>
          <w:color w:val="121212"/>
          <w:szCs w:val="20"/>
        </w:rPr>
        <w:t xml:space="preserve">‘Framing Theory’ (2007) 10(1) </w:t>
      </w:r>
      <w:r>
        <w:rPr>
          <w:i/>
          <w:iCs/>
          <w:color w:val="121212"/>
          <w:szCs w:val="20"/>
        </w:rPr>
        <w:t xml:space="preserve">Annual Review of Political Science </w:t>
      </w:r>
      <w:r>
        <w:rPr>
          <w:color w:val="121212"/>
          <w:szCs w:val="20"/>
        </w:rPr>
        <w:t>103–126.</w:t>
      </w:r>
    </w:p>
  </w:footnote>
  <w:footnote w:id="56">
    <w:p w14:paraId="6CDAF533"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Ibid</w:t>
      </w:r>
    </w:p>
  </w:footnote>
  <w:footnote w:id="57">
    <w:p w14:paraId="6B0C933B"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T </w:t>
      </w:r>
      <w:r>
        <w:rPr>
          <w:color w:val="121212"/>
          <w:szCs w:val="20"/>
        </w:rPr>
        <w:t xml:space="preserve">Dwyer, ‘Regulatory Frameworks and Media Ownership: A Comparative Analysis’ (2017) 11 </w:t>
      </w:r>
      <w:r>
        <w:rPr>
          <w:i/>
          <w:iCs/>
          <w:color w:val="121212"/>
          <w:szCs w:val="20"/>
        </w:rPr>
        <w:t xml:space="preserve">International Journal of Communication </w:t>
      </w:r>
      <w:r>
        <w:rPr>
          <w:color w:val="121212"/>
          <w:szCs w:val="20"/>
        </w:rPr>
        <w:t>2765–2783.</w:t>
      </w:r>
    </w:p>
  </w:footnote>
  <w:footnote w:id="58">
    <w:p w14:paraId="0B789C07"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Ibid</w:t>
      </w:r>
    </w:p>
  </w:footnote>
  <w:footnote w:id="59">
    <w:p w14:paraId="75D82642"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w:t>
      </w:r>
      <w:r>
        <w:rPr>
          <w:color w:val="121212"/>
          <w:szCs w:val="20"/>
        </w:rPr>
        <w:t xml:space="preserve">O </w:t>
      </w:r>
      <w:proofErr w:type="spellStart"/>
      <w:r>
        <w:rPr>
          <w:color w:val="121212"/>
          <w:szCs w:val="20"/>
        </w:rPr>
        <w:t>O</w:t>
      </w:r>
      <w:proofErr w:type="spellEnd"/>
      <w:r>
        <w:rPr>
          <w:color w:val="121212"/>
          <w:szCs w:val="20"/>
        </w:rPr>
        <w:t xml:space="preserve"> </w:t>
      </w:r>
      <w:proofErr w:type="spellStart"/>
      <w:r>
        <w:rPr>
          <w:color w:val="121212"/>
          <w:szCs w:val="20"/>
        </w:rPr>
        <w:t>Oyinloye</w:t>
      </w:r>
      <w:proofErr w:type="spellEnd"/>
      <w:r>
        <w:rPr>
          <w:color w:val="121212"/>
          <w:szCs w:val="20"/>
        </w:rPr>
        <w:t xml:space="preserve">, N A </w:t>
      </w:r>
      <w:proofErr w:type="spellStart"/>
      <w:r>
        <w:rPr>
          <w:color w:val="121212"/>
          <w:szCs w:val="20"/>
        </w:rPr>
        <w:t>Oyegoke</w:t>
      </w:r>
      <w:proofErr w:type="spellEnd"/>
      <w:r>
        <w:rPr>
          <w:color w:val="121212"/>
          <w:szCs w:val="20"/>
        </w:rPr>
        <w:t xml:space="preserve">, V E Odion and O </w:t>
      </w:r>
      <w:proofErr w:type="spellStart"/>
      <w:r>
        <w:rPr>
          <w:color w:val="121212"/>
          <w:szCs w:val="20"/>
        </w:rPr>
        <w:t>O</w:t>
      </w:r>
      <w:proofErr w:type="spellEnd"/>
      <w:r>
        <w:rPr>
          <w:color w:val="121212"/>
          <w:szCs w:val="20"/>
        </w:rPr>
        <w:t xml:space="preserve"> </w:t>
      </w:r>
      <w:proofErr w:type="spellStart"/>
      <w:r>
        <w:rPr>
          <w:color w:val="121212"/>
          <w:szCs w:val="20"/>
        </w:rPr>
        <w:t>Ojewumi</w:t>
      </w:r>
      <w:proofErr w:type="spellEnd"/>
      <w:r>
        <w:rPr>
          <w:color w:val="121212"/>
          <w:szCs w:val="20"/>
        </w:rPr>
        <w:t xml:space="preserve">, ‘Regulation, Censorship and Media Freedom’ (2024) 14(2) </w:t>
      </w:r>
      <w:r>
        <w:rPr>
          <w:i/>
          <w:iCs/>
          <w:color w:val="121212"/>
          <w:szCs w:val="20"/>
        </w:rPr>
        <w:t xml:space="preserve">African Journal of Social and </w:t>
      </w:r>
      <w:proofErr w:type="spellStart"/>
      <w:r>
        <w:rPr>
          <w:i/>
          <w:iCs/>
          <w:color w:val="121212"/>
          <w:szCs w:val="20"/>
        </w:rPr>
        <w:t>Behavioural</w:t>
      </w:r>
      <w:proofErr w:type="spellEnd"/>
      <w:r>
        <w:rPr>
          <w:i/>
          <w:iCs/>
          <w:color w:val="121212"/>
          <w:szCs w:val="20"/>
        </w:rPr>
        <w:t xml:space="preserve"> Sciences</w:t>
      </w:r>
      <w:r>
        <w:rPr>
          <w:color w:val="121212"/>
          <w:szCs w:val="20"/>
        </w:rPr>
        <w:t xml:space="preserve"> 651–670 </w:t>
      </w:r>
    </w:p>
  </w:footnote>
  <w:footnote w:id="60">
    <w:p w14:paraId="046A5609"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w:t>
      </w:r>
      <w:r>
        <w:rPr>
          <w:color w:val="121212"/>
          <w:szCs w:val="20"/>
        </w:rPr>
        <w:t>Ibid</w:t>
      </w:r>
    </w:p>
  </w:footnote>
  <w:footnote w:id="61">
    <w:p w14:paraId="69546D4B"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w:t>
      </w:r>
      <w:r>
        <w:rPr>
          <w:color w:val="121212"/>
          <w:szCs w:val="20"/>
        </w:rPr>
        <w:t>M McCombs and DL Shaw, ‘The Agenda-Setting Function of Mass Media’ (1972) 36(2) Public Opinion Quarterly 176–187</w:t>
      </w:r>
      <w:r>
        <w:rPr>
          <w:color w:val="121212"/>
          <w:szCs w:val="20"/>
        </w:rPr>
        <w:t xml:space="preserve">; </w:t>
      </w:r>
      <w:r>
        <w:rPr>
          <w:color w:val="121212"/>
          <w:szCs w:val="20"/>
        </w:rPr>
        <w:t xml:space="preserve">D McQuail, ‘Media Freedom and Media Standards’ (2016) 17(2) </w:t>
      </w:r>
      <w:r>
        <w:rPr>
          <w:i/>
          <w:iCs/>
          <w:color w:val="121212"/>
          <w:szCs w:val="20"/>
        </w:rPr>
        <w:t>Journalism Studies</w:t>
      </w:r>
      <w:r>
        <w:rPr>
          <w:color w:val="121212"/>
          <w:szCs w:val="20"/>
        </w:rPr>
        <w:t xml:space="preserve"> 203–220</w:t>
      </w:r>
      <w:r>
        <w:rPr>
          <w:color w:val="121212"/>
          <w:szCs w:val="20"/>
        </w:rPr>
        <w:t xml:space="preserve">; </w:t>
      </w:r>
      <w:r>
        <w:rPr>
          <w:color w:val="121212"/>
          <w:szCs w:val="20"/>
        </w:rPr>
        <w:t xml:space="preserve">S Moyo and J Ogwezi, ‘Media Freedom, Access to Information, and Elections in Africa: Perspectives from Zimbabwe’ (2019) 40(3) </w:t>
      </w:r>
      <w:r>
        <w:rPr>
          <w:i/>
          <w:iCs/>
          <w:color w:val="121212"/>
          <w:szCs w:val="20"/>
        </w:rPr>
        <w:t>African Journalism Studies</w:t>
      </w:r>
      <w:r>
        <w:rPr>
          <w:color w:val="121212"/>
          <w:szCs w:val="20"/>
        </w:rPr>
        <w:t xml:space="preserve"> 108–125.</w:t>
      </w:r>
    </w:p>
  </w:footnote>
  <w:footnote w:id="62">
    <w:p w14:paraId="29C744B2"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w:t>
      </w:r>
      <w:r>
        <w:rPr>
          <w:color w:val="121212"/>
          <w:szCs w:val="20"/>
        </w:rPr>
        <w:t xml:space="preserve">G </w:t>
      </w:r>
      <w:r>
        <w:rPr>
          <w:color w:val="121212"/>
          <w:szCs w:val="20"/>
        </w:rPr>
        <w:t xml:space="preserve">Doyle, ‘Media Ownership and Regulation: A Chronological Analysis’ (2018) 22(3) </w:t>
      </w:r>
      <w:r>
        <w:rPr>
          <w:i/>
          <w:iCs/>
          <w:color w:val="121212"/>
          <w:szCs w:val="20"/>
        </w:rPr>
        <w:t>Media Studies Journal</w:t>
      </w:r>
      <w:r>
        <w:rPr>
          <w:color w:val="121212"/>
          <w:szCs w:val="20"/>
        </w:rPr>
        <w:t xml:space="preserve"> 134–15</w:t>
      </w:r>
      <w:r>
        <w:rPr>
          <w:color w:val="121212"/>
          <w:szCs w:val="20"/>
        </w:rPr>
        <w:t xml:space="preserve">8; T </w:t>
      </w:r>
      <w:proofErr w:type="gramStart"/>
      <w:r>
        <w:rPr>
          <w:color w:val="121212"/>
          <w:szCs w:val="20"/>
        </w:rPr>
        <w:t>Dwyer</w:t>
      </w:r>
      <w:r>
        <w:rPr>
          <w:color w:val="121212"/>
          <w:szCs w:val="20"/>
        </w:rPr>
        <w:t xml:space="preserve">, </w:t>
      </w:r>
      <w:r>
        <w:rPr>
          <w:color w:val="121212"/>
          <w:szCs w:val="20"/>
        </w:rPr>
        <w:t xml:space="preserve"> ‘</w:t>
      </w:r>
      <w:proofErr w:type="gramEnd"/>
      <w:r>
        <w:rPr>
          <w:color w:val="121212"/>
          <w:szCs w:val="20"/>
        </w:rPr>
        <w:t xml:space="preserve">Regulatory Frameworks and Media Ownership: A Comparative Analysis’ (2017) 11 </w:t>
      </w:r>
      <w:r>
        <w:rPr>
          <w:i/>
          <w:iCs/>
          <w:color w:val="121212"/>
          <w:szCs w:val="20"/>
        </w:rPr>
        <w:t>International Journal of Communication</w:t>
      </w:r>
      <w:r>
        <w:rPr>
          <w:color w:val="121212"/>
          <w:szCs w:val="20"/>
        </w:rPr>
        <w:t xml:space="preserve"> 2</w:t>
      </w:r>
      <w:r>
        <w:rPr>
          <w:color w:val="121212"/>
          <w:szCs w:val="20"/>
        </w:rPr>
        <w:t xml:space="preserve">19; D </w:t>
      </w:r>
      <w:r>
        <w:rPr>
          <w:color w:val="121212"/>
          <w:szCs w:val="20"/>
        </w:rPr>
        <w:t>Freedman</w:t>
      </w:r>
      <w:r>
        <w:rPr>
          <w:color w:val="121212"/>
          <w:szCs w:val="20"/>
        </w:rPr>
        <w:t>,</w:t>
      </w:r>
      <w:r>
        <w:rPr>
          <w:color w:val="121212"/>
          <w:szCs w:val="20"/>
        </w:rPr>
        <w:t xml:space="preserve"> ‘Regulating the Media: A Historical Overview’ (2015) 40(2) </w:t>
      </w:r>
      <w:r>
        <w:rPr>
          <w:i/>
          <w:iCs/>
          <w:color w:val="121212"/>
          <w:szCs w:val="20"/>
        </w:rPr>
        <w:t xml:space="preserve">Journalism Quarterly </w:t>
      </w:r>
      <w:r>
        <w:rPr>
          <w:color w:val="121212"/>
          <w:szCs w:val="20"/>
        </w:rPr>
        <w:t>89–104.</w:t>
      </w:r>
    </w:p>
  </w:footnote>
  <w:footnote w:id="63">
    <w:p w14:paraId="47EB7E1F"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w:t>
      </w:r>
      <w:r>
        <w:rPr>
          <w:color w:val="121212"/>
          <w:szCs w:val="20"/>
        </w:rPr>
        <w:t xml:space="preserve">O </w:t>
      </w:r>
      <w:proofErr w:type="spellStart"/>
      <w:r>
        <w:rPr>
          <w:color w:val="121212"/>
          <w:szCs w:val="20"/>
        </w:rPr>
        <w:t>O</w:t>
      </w:r>
      <w:proofErr w:type="spellEnd"/>
      <w:r>
        <w:rPr>
          <w:color w:val="121212"/>
          <w:szCs w:val="20"/>
        </w:rPr>
        <w:t xml:space="preserve"> </w:t>
      </w:r>
      <w:proofErr w:type="spellStart"/>
      <w:r>
        <w:rPr>
          <w:color w:val="121212"/>
          <w:szCs w:val="20"/>
        </w:rPr>
        <w:t>Oyinloye</w:t>
      </w:r>
      <w:proofErr w:type="spellEnd"/>
      <w:r>
        <w:rPr>
          <w:color w:val="121212"/>
          <w:szCs w:val="20"/>
        </w:rPr>
        <w:t xml:space="preserve">, N A </w:t>
      </w:r>
      <w:proofErr w:type="spellStart"/>
      <w:r>
        <w:rPr>
          <w:color w:val="121212"/>
          <w:szCs w:val="20"/>
        </w:rPr>
        <w:t>Oyegoke</w:t>
      </w:r>
      <w:proofErr w:type="spellEnd"/>
      <w:r>
        <w:rPr>
          <w:color w:val="121212"/>
          <w:szCs w:val="20"/>
        </w:rPr>
        <w:t xml:space="preserve">, V E Odion and O </w:t>
      </w:r>
      <w:proofErr w:type="spellStart"/>
      <w:r>
        <w:rPr>
          <w:color w:val="121212"/>
          <w:szCs w:val="20"/>
        </w:rPr>
        <w:t>O</w:t>
      </w:r>
      <w:proofErr w:type="spellEnd"/>
      <w:r>
        <w:rPr>
          <w:color w:val="121212"/>
          <w:szCs w:val="20"/>
        </w:rPr>
        <w:t xml:space="preserve"> </w:t>
      </w:r>
      <w:proofErr w:type="spellStart"/>
      <w:r>
        <w:rPr>
          <w:color w:val="121212"/>
          <w:szCs w:val="20"/>
        </w:rPr>
        <w:t>Ojewumi</w:t>
      </w:r>
      <w:proofErr w:type="spellEnd"/>
      <w:r>
        <w:rPr>
          <w:color w:val="121212"/>
          <w:szCs w:val="20"/>
        </w:rPr>
        <w:t xml:space="preserve">, ‘Regulation, Censorship and Media Freedom’ (2024) 14(2) </w:t>
      </w:r>
      <w:r>
        <w:rPr>
          <w:i/>
          <w:iCs/>
          <w:color w:val="121212"/>
          <w:szCs w:val="20"/>
        </w:rPr>
        <w:t xml:space="preserve">African Journal of Social and </w:t>
      </w:r>
      <w:proofErr w:type="spellStart"/>
      <w:r>
        <w:rPr>
          <w:i/>
          <w:iCs/>
          <w:color w:val="121212"/>
          <w:szCs w:val="20"/>
        </w:rPr>
        <w:t>Behavioural</w:t>
      </w:r>
      <w:proofErr w:type="spellEnd"/>
      <w:r>
        <w:rPr>
          <w:i/>
          <w:iCs/>
          <w:color w:val="121212"/>
          <w:szCs w:val="20"/>
        </w:rPr>
        <w:t xml:space="preserve"> Sciences</w:t>
      </w:r>
      <w:r>
        <w:rPr>
          <w:color w:val="121212"/>
          <w:szCs w:val="20"/>
        </w:rPr>
        <w:t xml:space="preserve"> 651–670 </w:t>
      </w:r>
    </w:p>
  </w:footnote>
  <w:footnote w:id="64">
    <w:p w14:paraId="272A6509" w14:textId="77777777" w:rsidR="003775F4" w:rsidRDefault="00602015">
      <w:pPr>
        <w:pStyle w:val="footnotedescription"/>
        <w:snapToGrid w:val="0"/>
        <w:spacing w:line="240" w:lineRule="auto"/>
        <w:ind w:left="0" w:right="15"/>
        <w:jc w:val="both"/>
        <w:rPr>
          <w:color w:val="121212"/>
          <w:szCs w:val="20"/>
        </w:rPr>
      </w:pPr>
      <w:r>
        <w:rPr>
          <w:rStyle w:val="footnotemark"/>
          <w:color w:val="121212"/>
          <w:szCs w:val="20"/>
        </w:rPr>
        <w:footnoteRef/>
      </w:r>
      <w:r>
        <w:rPr>
          <w:color w:val="121212"/>
          <w:szCs w:val="20"/>
        </w:rPr>
        <w:t xml:space="preserve"> 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F59F7" w14:textId="77777777" w:rsidR="00702BAC" w:rsidRDefault="00702BAC" w:rsidP="00702BAC">
    <w:pPr>
      <w:pStyle w:val="Header"/>
      <w:ind w:left="567"/>
      <w:rPr>
        <w:rFonts w:ascii="Garamond" w:hAnsi="Garamond"/>
      </w:rPr>
    </w:pPr>
    <w:r>
      <w:rPr>
        <w:noProof/>
      </w:rPr>
      <mc:AlternateContent>
        <mc:Choice Requires="wps">
          <w:drawing>
            <wp:anchor distT="0" distB="0" distL="114300" distR="114300" simplePos="0" relativeHeight="251659264" behindDoc="0" locked="0" layoutInCell="1" allowOverlap="1" wp14:anchorId="39468068" wp14:editId="60B8E1AF">
              <wp:simplePos x="0" y="0"/>
              <wp:positionH relativeFrom="column">
                <wp:posOffset>4407535</wp:posOffset>
              </wp:positionH>
              <wp:positionV relativeFrom="paragraph">
                <wp:posOffset>-96244</wp:posOffset>
              </wp:positionV>
              <wp:extent cx="2014220" cy="757555"/>
              <wp:effectExtent l="0" t="0" r="24130" b="23495"/>
              <wp:wrapNone/>
              <wp:docPr id="23166796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4220" cy="757555"/>
                      </a:xfrm>
                      <a:prstGeom prst="rect">
                        <a:avLst/>
                      </a:prstGeom>
                      <a:solidFill>
                        <a:sysClr val="window" lastClr="FFFFFF"/>
                      </a:solidFill>
                      <a:ln w="12700" cap="flat" cmpd="sng" algn="ctr">
                        <a:solidFill>
                          <a:srgbClr val="5B9BD5"/>
                        </a:solidFill>
                        <a:prstDash val="solid"/>
                        <a:miter lim="800000"/>
                      </a:ln>
                      <a:effectLst/>
                    </wps:spPr>
                    <wps:txbx>
                      <w:txbxContent>
                        <w:p w14:paraId="658B9515" w14:textId="77777777" w:rsidR="00702BAC" w:rsidRPr="00AE57BC" w:rsidRDefault="00702BAC" w:rsidP="00702BAC">
                          <w:pPr>
                            <w:jc w:val="center"/>
                            <w:rPr>
                              <w:rFonts w:ascii="Garamond" w:hAnsi="Garamond"/>
                              <w:b/>
                              <w:bCs/>
                            </w:rPr>
                          </w:pPr>
                          <w:r w:rsidRPr="00AE57BC">
                            <w:rPr>
                              <w:rFonts w:ascii="Garamond" w:hAnsi="Garamond"/>
                              <w:b/>
                              <w:bCs/>
                            </w:rPr>
                            <w:t>PRINT ISSN: 0794-0254</w:t>
                          </w:r>
                        </w:p>
                        <w:p w14:paraId="36E336A6" w14:textId="77777777" w:rsidR="00702BAC" w:rsidRPr="00AE57BC" w:rsidRDefault="00702BAC" w:rsidP="00702BAC">
                          <w:pPr>
                            <w:jc w:val="center"/>
                            <w:rPr>
                              <w:rFonts w:ascii="Garamond" w:hAnsi="Garamond"/>
                              <w:b/>
                              <w:bCs/>
                            </w:rPr>
                          </w:pPr>
                          <w:r w:rsidRPr="00AE57BC">
                            <w:rPr>
                              <w:rFonts w:ascii="Garamond" w:hAnsi="Garamond"/>
                              <w:b/>
                              <w:bCs/>
                            </w:rPr>
                            <w:t>ONLINE:</w:t>
                          </w:r>
                          <w:r>
                            <w:rPr>
                              <w:rFonts w:ascii="Garamond" w:hAnsi="Garamond"/>
                              <w:b/>
                              <w:bCs/>
                            </w:rPr>
                            <w:t xml:space="preserve"> E-ISSN: 0794-084X</w:t>
                          </w:r>
                          <w:r w:rsidRPr="00AE57BC">
                            <w:rPr>
                              <w:rFonts w:ascii="Garamond" w:hAnsi="Garamond"/>
                              <w:b/>
                              <w:bCs/>
                            </w:rPr>
                            <w:t xml:space="preserve"> </w:t>
                          </w:r>
                        </w:p>
                        <w:p w14:paraId="45B446FC" w14:textId="77777777" w:rsidR="00702BAC" w:rsidRPr="00650D3A" w:rsidRDefault="00702BAC" w:rsidP="00702BA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468068" id="Rectangle 2" o:spid="_x0000_s1026" style="position:absolute;left:0;text-align:left;margin-left:347.05pt;margin-top:-7.6pt;width:158.6pt;height:59.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" fillcolor="window" strokecolor="#5b9bd5" strokeweight="1pt">
              <v:path arrowok="t"/>
              <v:textbox>
                <w:txbxContent>
                  <w:p w14:paraId="658B9515" w14:textId="77777777" w:rsidR="00702BAC" w:rsidRPr="00AE57BC" w:rsidRDefault="00702BAC" w:rsidP="00702BAC">
                    <w:pPr>
                      <w:jc w:val="center"/>
                      <w:rPr>
                        <w:rFonts w:ascii="Garamond" w:hAnsi="Garamond"/>
                        <w:b/>
                        <w:bCs/>
                      </w:rPr>
                    </w:pPr>
                    <w:r w:rsidRPr="00AE57BC">
                      <w:rPr>
                        <w:rFonts w:ascii="Garamond" w:hAnsi="Garamond"/>
                        <w:b/>
                        <w:bCs/>
                      </w:rPr>
                      <w:t>PRINT ISSN: 0794-0254</w:t>
                    </w:r>
                  </w:p>
                  <w:p w14:paraId="36E336A6" w14:textId="77777777" w:rsidR="00702BAC" w:rsidRPr="00AE57BC" w:rsidRDefault="00702BAC" w:rsidP="00702BAC">
                    <w:pPr>
                      <w:jc w:val="center"/>
                      <w:rPr>
                        <w:rFonts w:ascii="Garamond" w:hAnsi="Garamond"/>
                        <w:b/>
                        <w:bCs/>
                      </w:rPr>
                    </w:pPr>
                    <w:r w:rsidRPr="00AE57BC">
                      <w:rPr>
                        <w:rFonts w:ascii="Garamond" w:hAnsi="Garamond"/>
                        <w:b/>
                        <w:bCs/>
                      </w:rPr>
                      <w:t>ONLINE:</w:t>
                    </w:r>
                    <w:r>
                      <w:rPr>
                        <w:rFonts w:ascii="Garamond" w:hAnsi="Garamond"/>
                        <w:b/>
                        <w:bCs/>
                      </w:rPr>
                      <w:t xml:space="preserve"> E-ISSN: 0794-084X</w:t>
                    </w:r>
                    <w:r w:rsidRPr="00AE57BC">
                      <w:rPr>
                        <w:rFonts w:ascii="Garamond" w:hAnsi="Garamond"/>
                        <w:b/>
                        <w:bCs/>
                      </w:rPr>
                      <w:t xml:space="preserve"> </w:t>
                    </w:r>
                  </w:p>
                  <w:p w14:paraId="45B446FC" w14:textId="77777777" w:rsidR="00702BAC" w:rsidRPr="00650D3A" w:rsidRDefault="00702BAC" w:rsidP="00702BAC">
                    <w:pPr>
                      <w:jc w:val="center"/>
                    </w:pPr>
                  </w:p>
                </w:txbxContent>
              </v:textbox>
            </v:rect>
          </w:pict>
        </mc:Fallback>
      </mc:AlternateContent>
    </w:r>
    <w:r w:rsidRPr="00FE31B0">
      <w:rPr>
        <w:b/>
        <w:noProof/>
      </w:rPr>
      <w:drawing>
        <wp:inline distT="0" distB="0" distL="0" distR="0" wp14:anchorId="2FB6D07D" wp14:editId="1369240E">
          <wp:extent cx="752475" cy="571500"/>
          <wp:effectExtent l="0" t="0" r="9525" b="0"/>
          <wp:docPr id="900854891" name="Picture 1" descr="C:\Users\user\AppData\Local\Packages\5319275A.WhatsAppDesktop_cv1g1gvanyjgm\TempState\CE4FFB5B08F4F974656A81C92D3C824E\WhatsApp Image 2024-01-23 at 23.14.17_fae97c6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user\AppData\Local\Packages\5319275A.WhatsAppDesktop_cv1g1gvanyjgm\TempState\CE4FFB5B08F4F974656A81C92D3C824E\WhatsApp Image 2024-01-23 at 23.14.17_fae97c6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752475" cy="571500"/>
                  </a:xfrm>
                  <a:prstGeom prst="rect">
                    <a:avLst/>
                  </a:prstGeom>
                  <a:noFill/>
                  <a:ln>
                    <a:noFill/>
                  </a:ln>
                </pic:spPr>
              </pic:pic>
            </a:graphicData>
          </a:graphic>
        </wp:inline>
      </w:drawing>
    </w:r>
    <w:r>
      <w:rPr>
        <w:rFonts w:ascii="Garamond" w:hAnsi="Garamond"/>
      </w:rPr>
      <w:t>Fountain University Law Journal Vol. 3 No. 5, 2026</w:t>
    </w:r>
  </w:p>
  <w:p w14:paraId="06CB1DE5" w14:textId="77777777" w:rsidR="00702BAC" w:rsidRDefault="00702BAC" w:rsidP="00702BAC">
    <w:pPr>
      <w:pStyle w:val="Header"/>
    </w:pPr>
  </w:p>
  <w:p w14:paraId="6070C99C" w14:textId="77777777" w:rsidR="00702BAC" w:rsidRDefault="00702B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noPunctuationKerning/>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5F4"/>
    <w:rsid w:val="00023B67"/>
    <w:rsid w:val="003775F4"/>
    <w:rsid w:val="00602015"/>
    <w:rsid w:val="00702BAC"/>
    <w:rsid w:val="009915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E2A02"/>
  <w15:docId w15:val="{604BC657-BF6E-4FD4-A4FC-F08FC9484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unhideWhenUsed="1"/>
    <w:lsdException w:name="header" w:uiPriority="99" w:qFormat="1"/>
    <w:lsdException w:name="footer" w:uiPriority="99"/>
    <w:lsdException w:name="caption" w:semiHidden="1" w:unhideWhenUsed="1" w:qFormat="1"/>
    <w:lsdException w:name="footnote reference" w:uiPriority="99" w:unhideWhenUsed="1"/>
    <w:lsdException w:name="endnote reference" w:uiPriority="99" w:unhideWhenUsed="1"/>
    <w:lsdException w:name="endnote text" w:uiPriority="99" w:unhideWhenUsed="1"/>
    <w:lsdException w:name="Title" w:qFormat="1"/>
    <w:lsdException w:name="Default Paragraph Font" w:semiHidden="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eastAsia="Times New Roman"/>
      <w:sz w:val="24"/>
      <w:szCs w:val="24"/>
    </w:rPr>
  </w:style>
  <w:style w:type="paragraph" w:styleId="Heading1">
    <w:name w:val="heading 1"/>
    <w:next w:val="Normal"/>
    <w:qFormat/>
    <w:pPr>
      <w:spacing w:before="480" w:after="240"/>
      <w:outlineLvl w:val="0"/>
    </w:pPr>
    <w:rPr>
      <w:rFonts w:eastAsia="Times New Roman"/>
      <w:b/>
      <w:bCs/>
      <w:color w:val="1F3864"/>
      <w:sz w:val="28"/>
      <w:szCs w:val="28"/>
    </w:rPr>
  </w:style>
  <w:style w:type="paragraph" w:styleId="Heading2">
    <w:name w:val="heading 2"/>
    <w:next w:val="Normal"/>
    <w:qFormat/>
    <w:pPr>
      <w:spacing w:before="360" w:after="180"/>
      <w:outlineLvl w:val="1"/>
    </w:pPr>
    <w:rPr>
      <w:rFonts w:eastAsia="Times New Roman"/>
      <w:b/>
      <w:bCs/>
      <w:color w:val="2F5496"/>
      <w:sz w:val="26"/>
      <w:szCs w:val="26"/>
    </w:rPr>
  </w:style>
  <w:style w:type="paragraph" w:styleId="Heading3">
    <w:name w:val="heading 3"/>
    <w:next w:val="Normal"/>
    <w:qFormat/>
    <w:pPr>
      <w:spacing w:before="280" w:after="140"/>
      <w:outlineLvl w:val="2"/>
    </w:pPr>
    <w:rPr>
      <w:rFonts w:eastAsia="Times New Roman"/>
      <w:b/>
      <w:bCs/>
      <w:i/>
      <w:iCs/>
      <w:color w:val="2F5496"/>
      <w:sz w:val="24"/>
      <w:szCs w:val="24"/>
    </w:rPr>
  </w:style>
  <w:style w:type="paragraph" w:styleId="Heading4">
    <w:name w:val="heading 4"/>
    <w:next w:val="Normal"/>
    <w:qFormat/>
    <w:pPr>
      <w:outlineLvl w:val="3"/>
    </w:pPr>
    <w:rPr>
      <w:rFonts w:eastAsia="Times New Roman"/>
      <w:i/>
      <w:iCs/>
      <w:color w:val="2E74B5"/>
      <w:sz w:val="24"/>
      <w:szCs w:val="24"/>
    </w:rPr>
  </w:style>
  <w:style w:type="paragraph" w:styleId="Heading5">
    <w:name w:val="heading 5"/>
    <w:next w:val="Normal"/>
    <w:qFormat/>
    <w:pPr>
      <w:outlineLvl w:val="4"/>
    </w:pPr>
    <w:rPr>
      <w:rFonts w:eastAsia="Times New Roman"/>
      <w:color w:val="2E74B5"/>
      <w:sz w:val="24"/>
      <w:szCs w:val="24"/>
    </w:rPr>
  </w:style>
  <w:style w:type="paragraph" w:styleId="Heading6">
    <w:name w:val="heading 6"/>
    <w:next w:val="Normal"/>
    <w:qFormat/>
    <w:pPr>
      <w:outlineLvl w:val="5"/>
    </w:pPr>
    <w:rPr>
      <w:rFonts w:eastAsia="Times New Roman"/>
      <w:color w:val="1F4D7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link w:val="EndnoteTextChar"/>
    <w:uiPriority w:val="99"/>
    <w:unhideWhenUsed/>
    <w:pPr>
      <w:spacing w:after="0" w:line="240" w:lineRule="auto"/>
    </w:pPr>
    <w:rPr>
      <w:rFonts w:eastAsia="Times New Roman"/>
    </w:rPr>
  </w:style>
  <w:style w:type="paragraph" w:styleId="FootnoteText">
    <w:name w:val="footnote text"/>
    <w:link w:val="FootnoteTextChar"/>
    <w:uiPriority w:val="99"/>
    <w:unhideWhenUsed/>
    <w:pPr>
      <w:spacing w:after="0" w:line="240" w:lineRule="auto"/>
    </w:pPr>
    <w:rPr>
      <w:rFonts w:eastAsia="Times New Roman"/>
    </w:rPr>
  </w:style>
  <w:style w:type="paragraph" w:styleId="Title">
    <w:name w:val="Title"/>
    <w:qFormat/>
    <w:rPr>
      <w:rFonts w:eastAsia="Times New Roman"/>
      <w:sz w:val="56"/>
      <w:szCs w:val="56"/>
    </w:rPr>
  </w:style>
  <w:style w:type="character" w:styleId="EndnoteReference">
    <w:name w:val="endnote reference"/>
    <w:uiPriority w:val="99"/>
    <w:unhideWhenUsed/>
    <w:rPr>
      <w:vertAlign w:val="superscript"/>
    </w:rPr>
  </w:style>
  <w:style w:type="character" w:styleId="FootnoteReference">
    <w:name w:val="footnote reference"/>
    <w:uiPriority w:val="99"/>
    <w:unhideWhenUsed/>
    <w:rPr>
      <w:vertAlign w:val="superscript"/>
    </w:rPr>
  </w:style>
  <w:style w:type="character" w:styleId="Hyperlink">
    <w:name w:val="Hyperlink"/>
    <w:uiPriority w:val="99"/>
    <w:unhideWhenUsed/>
    <w:rPr>
      <w:color w:val="0563C1"/>
      <w:u w:val="single"/>
    </w:rPr>
  </w:style>
  <w:style w:type="paragraph" w:customStyle="1" w:styleId="Strong1">
    <w:name w:val="Strong1"/>
    <w:qFormat/>
    <w:rPr>
      <w:rFonts w:eastAsia="Times New Roman"/>
      <w:b/>
      <w:bCs/>
      <w:sz w:val="24"/>
      <w:szCs w:val="24"/>
    </w:rPr>
  </w:style>
  <w:style w:type="paragraph" w:customStyle="1" w:styleId="ListParagraph1">
    <w:name w:val="List Paragraph1"/>
    <w:qFormat/>
    <w:rPr>
      <w:rFonts w:eastAsia="Times New Roman"/>
      <w:sz w:val="24"/>
      <w:szCs w:val="24"/>
    </w:rPr>
  </w:style>
  <w:style w:type="character" w:customStyle="1" w:styleId="FootnoteTextChar">
    <w:name w:val="Footnote Text Char"/>
    <w:link w:val="FootnoteText"/>
    <w:uiPriority w:val="99"/>
    <w:unhideWhenUsed/>
    <w:rPr>
      <w:sz w:val="20"/>
      <w:szCs w:val="20"/>
    </w:rPr>
  </w:style>
  <w:style w:type="character" w:customStyle="1" w:styleId="EndnoteTextChar">
    <w:name w:val="Endnote Text Char"/>
    <w:link w:val="EndnoteText"/>
    <w:uiPriority w:val="99"/>
    <w:unhideWhenUsed/>
    <w:rPr>
      <w:sz w:val="20"/>
      <w:szCs w:val="20"/>
    </w:rPr>
  </w:style>
  <w:style w:type="paragraph" w:customStyle="1" w:styleId="footnotedescription">
    <w:name w:val="footnote description"/>
    <w:next w:val="Normal"/>
    <w:hidden/>
    <w:pPr>
      <w:spacing w:after="1" w:line="254" w:lineRule="auto"/>
      <w:ind w:left="360"/>
    </w:pPr>
    <w:rPr>
      <w:rFonts w:eastAsia="Times New Roman"/>
      <w:color w:val="000000"/>
      <w:szCs w:val="22"/>
    </w:rPr>
  </w:style>
  <w:style w:type="character" w:customStyle="1" w:styleId="footnotemark">
    <w:name w:val="footnote mark"/>
    <w:rPr>
      <w:rFonts w:ascii="Times New Roman" w:eastAsia="Times New Roman" w:hAnsi="Times New Roman" w:cs="Times New Roman"/>
      <w:color w:val="000000"/>
      <w:sz w:val="20"/>
      <w:vertAlign w:val="superscript"/>
    </w:rPr>
  </w:style>
  <w:style w:type="paragraph" w:styleId="Header">
    <w:name w:val="header"/>
    <w:basedOn w:val="Normal"/>
    <w:link w:val="HeaderChar"/>
    <w:uiPriority w:val="99"/>
    <w:qFormat/>
    <w:rsid w:val="00702BAC"/>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702BAC"/>
    <w:rPr>
      <w:rFonts w:eastAsia="Times New Roman"/>
      <w:sz w:val="24"/>
      <w:szCs w:val="24"/>
    </w:rPr>
  </w:style>
  <w:style w:type="paragraph" w:styleId="Footer">
    <w:name w:val="footer"/>
    <w:basedOn w:val="Normal"/>
    <w:link w:val="FooterChar"/>
    <w:uiPriority w:val="99"/>
    <w:rsid w:val="00702B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2BAC"/>
    <w:rPr>
      <w:rFonts w:eastAsia="Times New Roman"/>
      <w:sz w:val="24"/>
      <w:szCs w:val="24"/>
    </w:rPr>
  </w:style>
  <w:style w:type="character" w:styleId="UnresolvedMention">
    <w:name w:val="Unresolved Mention"/>
    <w:basedOn w:val="DefaultParagraphFont"/>
    <w:uiPriority w:val="99"/>
    <w:semiHidden/>
    <w:unhideWhenUsed/>
    <w:rsid w:val="00702B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mailto:fatoki.yewande@lcu.edu.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6548</Words>
  <Characters>37329</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Saheed Abiola</cp:lastModifiedBy>
  <cp:revision>2</cp:revision>
  <dcterms:created xsi:type="dcterms:W3CDTF">2026-09-06T15:38:00Z</dcterms:created>
  <dcterms:modified xsi:type="dcterms:W3CDTF">2026-09-06T15:38:00Z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29B6EF25A53DB3DE7F690F6A4C9E6DCD_31</vt:lpwstr>
  </property>
  <property fmtid="{D5CDD505-2E9C-101B-9397-08002B2CF9AE}" pid="3" name="KSOProductBuildVer">
    <vt:lpwstr>3081-26.4.2</vt:lpwstr>
  </property>
</Properties>
</file>